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="Times New Roman" w:hAnsi="Arial" w:cs="Arial"/>
          <w:b w:val="0"/>
          <w:bCs w:val="0"/>
          <w:caps w:val="0"/>
          <w:color w:val="auto"/>
          <w:sz w:val="24"/>
          <w:szCs w:val="24"/>
          <w:lang w:eastAsia="en-US"/>
        </w:rPr>
        <w:id w:val="-17390097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679BD" w:rsidRPr="00935A1A" w:rsidRDefault="003679BD" w:rsidP="000E097D">
          <w:pPr>
            <w:pStyle w:val="TOCHeading"/>
            <w:rPr>
              <w:rFonts w:ascii="Arial" w:hAnsi="Arial" w:cs="Arial"/>
              <w:b w:val="0"/>
            </w:rPr>
          </w:pPr>
          <w:r w:rsidRPr="00935A1A">
            <w:rPr>
              <w:rFonts w:ascii="Arial" w:hAnsi="Arial" w:cs="Arial"/>
              <w:b w:val="0"/>
            </w:rPr>
            <w:t>Contents</w:t>
          </w:r>
        </w:p>
        <w:p w:rsidR="008A5C45" w:rsidRPr="00935A1A" w:rsidRDefault="00E91152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="Arial"/>
              <w:noProof/>
              <w:sz w:val="22"/>
              <w:szCs w:val="22"/>
            </w:rPr>
          </w:pPr>
          <w:r w:rsidRPr="00935A1A">
            <w:rPr>
              <w:rFonts w:cs="Arial"/>
            </w:rPr>
            <w:fldChar w:fldCharType="begin"/>
          </w:r>
          <w:r w:rsidRPr="00935A1A">
            <w:rPr>
              <w:rFonts w:cs="Arial"/>
            </w:rPr>
            <w:instrText xml:space="preserve"> TOC \o "1-1" \h \z \u </w:instrText>
          </w:r>
          <w:r w:rsidRPr="00935A1A">
            <w:rPr>
              <w:rFonts w:cs="Arial"/>
            </w:rPr>
            <w:fldChar w:fldCharType="separate"/>
          </w:r>
          <w:hyperlink w:anchor="_Toc379188785" w:history="1">
            <w:r w:rsidR="008A5C45" w:rsidRPr="00935A1A">
              <w:rPr>
                <w:rStyle w:val="Hyperlink"/>
                <w:rFonts w:cs="Arial"/>
                <w:bCs/>
                <w:iCs/>
                <w:noProof/>
              </w:rPr>
              <w:t>1</w:t>
            </w:r>
            <w:r w:rsidR="008A5C45" w:rsidRPr="00935A1A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8A5C45" w:rsidRPr="00935A1A">
              <w:rPr>
                <w:rStyle w:val="Hyperlink"/>
                <w:rFonts w:cs="Arial"/>
                <w:noProof/>
              </w:rPr>
              <w:t>Purpose</w:t>
            </w:r>
            <w:r w:rsidR="008A5C45" w:rsidRPr="00935A1A">
              <w:rPr>
                <w:rFonts w:cs="Arial"/>
                <w:noProof/>
                <w:webHidden/>
              </w:rPr>
              <w:tab/>
            </w:r>
            <w:r w:rsidR="008A5C45" w:rsidRPr="00935A1A">
              <w:rPr>
                <w:rFonts w:cs="Arial"/>
                <w:noProof/>
                <w:webHidden/>
              </w:rPr>
              <w:fldChar w:fldCharType="begin"/>
            </w:r>
            <w:r w:rsidR="008A5C45" w:rsidRPr="00935A1A">
              <w:rPr>
                <w:rFonts w:cs="Arial"/>
                <w:noProof/>
                <w:webHidden/>
              </w:rPr>
              <w:instrText xml:space="preserve"> PAGEREF _Toc379188785 \h </w:instrText>
            </w:r>
            <w:r w:rsidR="008A5C45" w:rsidRPr="00935A1A">
              <w:rPr>
                <w:rFonts w:cs="Arial"/>
                <w:noProof/>
                <w:webHidden/>
              </w:rPr>
            </w:r>
            <w:r w:rsidR="008A5C45" w:rsidRPr="00935A1A">
              <w:rPr>
                <w:rFonts w:cs="Arial"/>
                <w:noProof/>
                <w:webHidden/>
              </w:rPr>
              <w:fldChar w:fldCharType="separate"/>
            </w:r>
            <w:r w:rsidR="002D754C" w:rsidRPr="00935A1A">
              <w:rPr>
                <w:rFonts w:cs="Arial"/>
                <w:noProof/>
                <w:webHidden/>
              </w:rPr>
              <w:t>1</w:t>
            </w:r>
            <w:r w:rsidR="008A5C45" w:rsidRPr="00935A1A">
              <w:rPr>
                <w:rFonts w:cs="Arial"/>
                <w:noProof/>
                <w:webHidden/>
              </w:rPr>
              <w:fldChar w:fldCharType="end"/>
            </w:r>
          </w:hyperlink>
        </w:p>
        <w:p w:rsidR="008A5C45" w:rsidRPr="00935A1A" w:rsidRDefault="00B94B82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="Arial"/>
              <w:noProof/>
              <w:sz w:val="22"/>
              <w:szCs w:val="22"/>
            </w:rPr>
          </w:pPr>
          <w:hyperlink w:anchor="_Toc379188786" w:history="1">
            <w:r w:rsidR="008A5C45" w:rsidRPr="00935A1A">
              <w:rPr>
                <w:rStyle w:val="Hyperlink"/>
                <w:rFonts w:cs="Arial"/>
                <w:bCs/>
                <w:iCs/>
                <w:noProof/>
              </w:rPr>
              <w:t>2</w:t>
            </w:r>
            <w:r w:rsidR="008A5C45" w:rsidRPr="00935A1A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8A5C45" w:rsidRPr="00935A1A">
              <w:rPr>
                <w:rStyle w:val="Hyperlink"/>
                <w:rFonts w:cs="Arial"/>
                <w:noProof/>
              </w:rPr>
              <w:t>Scope – applies to where &amp; when the Policy is used</w:t>
            </w:r>
            <w:r w:rsidR="008A5C45" w:rsidRPr="00935A1A">
              <w:rPr>
                <w:rFonts w:cs="Arial"/>
                <w:noProof/>
                <w:webHidden/>
              </w:rPr>
              <w:tab/>
            </w:r>
            <w:r w:rsidR="008A5C45" w:rsidRPr="00935A1A">
              <w:rPr>
                <w:rFonts w:cs="Arial"/>
                <w:noProof/>
                <w:webHidden/>
              </w:rPr>
              <w:fldChar w:fldCharType="begin"/>
            </w:r>
            <w:r w:rsidR="008A5C45" w:rsidRPr="00935A1A">
              <w:rPr>
                <w:rFonts w:cs="Arial"/>
                <w:noProof/>
                <w:webHidden/>
              </w:rPr>
              <w:instrText xml:space="preserve"> PAGEREF _Toc379188786 \h </w:instrText>
            </w:r>
            <w:r w:rsidR="008A5C45" w:rsidRPr="00935A1A">
              <w:rPr>
                <w:rFonts w:cs="Arial"/>
                <w:noProof/>
                <w:webHidden/>
              </w:rPr>
            </w:r>
            <w:r w:rsidR="008A5C45" w:rsidRPr="00935A1A">
              <w:rPr>
                <w:rFonts w:cs="Arial"/>
                <w:noProof/>
                <w:webHidden/>
              </w:rPr>
              <w:fldChar w:fldCharType="separate"/>
            </w:r>
            <w:r w:rsidR="002D754C" w:rsidRPr="00935A1A">
              <w:rPr>
                <w:rFonts w:cs="Arial"/>
                <w:noProof/>
                <w:webHidden/>
              </w:rPr>
              <w:t>1</w:t>
            </w:r>
            <w:r w:rsidR="008A5C45" w:rsidRPr="00935A1A">
              <w:rPr>
                <w:rFonts w:cs="Arial"/>
                <w:noProof/>
                <w:webHidden/>
              </w:rPr>
              <w:fldChar w:fldCharType="end"/>
            </w:r>
          </w:hyperlink>
        </w:p>
        <w:p w:rsidR="008A5C45" w:rsidRPr="00935A1A" w:rsidRDefault="00B94B82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="Arial"/>
              <w:noProof/>
              <w:sz w:val="22"/>
              <w:szCs w:val="22"/>
            </w:rPr>
          </w:pPr>
          <w:hyperlink w:anchor="_Toc379188787" w:history="1">
            <w:r w:rsidR="008A5C45" w:rsidRPr="00935A1A">
              <w:rPr>
                <w:rStyle w:val="Hyperlink"/>
                <w:rFonts w:cs="Arial"/>
                <w:bCs/>
                <w:iCs/>
                <w:noProof/>
              </w:rPr>
              <w:t>3</w:t>
            </w:r>
            <w:r w:rsidR="008A5C45" w:rsidRPr="00935A1A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8A5C45" w:rsidRPr="00935A1A">
              <w:rPr>
                <w:rStyle w:val="Hyperlink"/>
                <w:rFonts w:cs="Arial"/>
                <w:noProof/>
              </w:rPr>
              <w:t>Policy</w:t>
            </w:r>
            <w:r w:rsidR="008A5C45" w:rsidRPr="00935A1A">
              <w:rPr>
                <w:rFonts w:cs="Arial"/>
                <w:noProof/>
                <w:webHidden/>
              </w:rPr>
              <w:tab/>
            </w:r>
            <w:r w:rsidR="008A5C45" w:rsidRPr="00935A1A">
              <w:rPr>
                <w:rFonts w:cs="Arial"/>
                <w:noProof/>
                <w:webHidden/>
              </w:rPr>
              <w:fldChar w:fldCharType="begin"/>
            </w:r>
            <w:r w:rsidR="008A5C45" w:rsidRPr="00935A1A">
              <w:rPr>
                <w:rFonts w:cs="Arial"/>
                <w:noProof/>
                <w:webHidden/>
              </w:rPr>
              <w:instrText xml:space="preserve"> PAGEREF _Toc379188787 \h </w:instrText>
            </w:r>
            <w:r w:rsidR="008A5C45" w:rsidRPr="00935A1A">
              <w:rPr>
                <w:rFonts w:cs="Arial"/>
                <w:noProof/>
                <w:webHidden/>
              </w:rPr>
            </w:r>
            <w:r w:rsidR="008A5C45" w:rsidRPr="00935A1A">
              <w:rPr>
                <w:rFonts w:cs="Arial"/>
                <w:noProof/>
                <w:webHidden/>
              </w:rPr>
              <w:fldChar w:fldCharType="separate"/>
            </w:r>
            <w:r w:rsidR="002D754C" w:rsidRPr="00935A1A">
              <w:rPr>
                <w:rFonts w:cs="Arial"/>
                <w:noProof/>
                <w:webHidden/>
              </w:rPr>
              <w:t>1</w:t>
            </w:r>
            <w:r w:rsidR="008A5C45" w:rsidRPr="00935A1A">
              <w:rPr>
                <w:rFonts w:cs="Arial"/>
                <w:noProof/>
                <w:webHidden/>
              </w:rPr>
              <w:fldChar w:fldCharType="end"/>
            </w:r>
          </w:hyperlink>
        </w:p>
        <w:p w:rsidR="008A5C45" w:rsidRPr="00935A1A" w:rsidRDefault="00B94B82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="Arial"/>
              <w:noProof/>
              <w:sz w:val="22"/>
              <w:szCs w:val="22"/>
            </w:rPr>
          </w:pPr>
          <w:hyperlink w:anchor="_Toc379188788" w:history="1">
            <w:r w:rsidR="008A5C45" w:rsidRPr="00935A1A">
              <w:rPr>
                <w:rStyle w:val="Hyperlink"/>
                <w:rFonts w:cs="Arial"/>
                <w:bCs/>
                <w:iCs/>
                <w:noProof/>
              </w:rPr>
              <w:t>4</w:t>
            </w:r>
            <w:r w:rsidR="008A5C45" w:rsidRPr="00935A1A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8A5C45" w:rsidRPr="00935A1A">
              <w:rPr>
                <w:rStyle w:val="Hyperlink"/>
                <w:rFonts w:cs="Arial"/>
                <w:noProof/>
              </w:rPr>
              <w:t>Reference Procedure (or Work Instruction)</w:t>
            </w:r>
            <w:r w:rsidR="008A5C45" w:rsidRPr="00935A1A">
              <w:rPr>
                <w:rFonts w:cs="Arial"/>
                <w:noProof/>
                <w:webHidden/>
              </w:rPr>
              <w:tab/>
            </w:r>
            <w:r w:rsidR="008A5C45" w:rsidRPr="00935A1A">
              <w:rPr>
                <w:rFonts w:cs="Arial"/>
                <w:noProof/>
                <w:webHidden/>
              </w:rPr>
              <w:fldChar w:fldCharType="begin"/>
            </w:r>
            <w:r w:rsidR="008A5C45" w:rsidRPr="00935A1A">
              <w:rPr>
                <w:rFonts w:cs="Arial"/>
                <w:noProof/>
                <w:webHidden/>
              </w:rPr>
              <w:instrText xml:space="preserve"> PAGEREF _Toc379188788 \h </w:instrText>
            </w:r>
            <w:r w:rsidR="008A5C45" w:rsidRPr="00935A1A">
              <w:rPr>
                <w:rFonts w:cs="Arial"/>
                <w:noProof/>
                <w:webHidden/>
              </w:rPr>
            </w:r>
            <w:r w:rsidR="008A5C45" w:rsidRPr="00935A1A">
              <w:rPr>
                <w:rFonts w:cs="Arial"/>
                <w:noProof/>
                <w:webHidden/>
              </w:rPr>
              <w:fldChar w:fldCharType="separate"/>
            </w:r>
            <w:r w:rsidR="002D754C" w:rsidRPr="00935A1A">
              <w:rPr>
                <w:rFonts w:cs="Arial"/>
                <w:noProof/>
                <w:webHidden/>
              </w:rPr>
              <w:t>2</w:t>
            </w:r>
            <w:r w:rsidR="008A5C45" w:rsidRPr="00935A1A">
              <w:rPr>
                <w:rFonts w:cs="Arial"/>
                <w:noProof/>
                <w:webHidden/>
              </w:rPr>
              <w:fldChar w:fldCharType="end"/>
            </w:r>
          </w:hyperlink>
        </w:p>
        <w:p w:rsidR="008A5C45" w:rsidRPr="00935A1A" w:rsidRDefault="00B94B82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="Arial"/>
              <w:noProof/>
              <w:sz w:val="22"/>
              <w:szCs w:val="22"/>
            </w:rPr>
          </w:pPr>
          <w:hyperlink w:anchor="_Toc379188789" w:history="1">
            <w:r w:rsidR="008A5C45" w:rsidRPr="00935A1A">
              <w:rPr>
                <w:rStyle w:val="Hyperlink"/>
                <w:rFonts w:cs="Arial"/>
                <w:bCs/>
                <w:iCs/>
                <w:noProof/>
              </w:rPr>
              <w:t>5</w:t>
            </w:r>
            <w:r w:rsidR="008A5C45" w:rsidRPr="00935A1A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8A5C45" w:rsidRPr="00935A1A">
              <w:rPr>
                <w:rStyle w:val="Hyperlink"/>
                <w:rFonts w:cs="Arial"/>
                <w:noProof/>
              </w:rPr>
              <w:t>Current Revision’s Training Requirements</w:t>
            </w:r>
            <w:r w:rsidR="008A5C45" w:rsidRPr="00935A1A">
              <w:rPr>
                <w:rFonts w:cs="Arial"/>
                <w:noProof/>
                <w:webHidden/>
              </w:rPr>
              <w:tab/>
            </w:r>
            <w:r w:rsidR="008A5C45" w:rsidRPr="00935A1A">
              <w:rPr>
                <w:rFonts w:cs="Arial"/>
                <w:noProof/>
                <w:webHidden/>
              </w:rPr>
              <w:fldChar w:fldCharType="begin"/>
            </w:r>
            <w:r w:rsidR="008A5C45" w:rsidRPr="00935A1A">
              <w:rPr>
                <w:rFonts w:cs="Arial"/>
                <w:noProof/>
                <w:webHidden/>
              </w:rPr>
              <w:instrText xml:space="preserve"> PAGEREF _Toc379188789 \h </w:instrText>
            </w:r>
            <w:r w:rsidR="008A5C45" w:rsidRPr="00935A1A">
              <w:rPr>
                <w:rFonts w:cs="Arial"/>
                <w:noProof/>
                <w:webHidden/>
              </w:rPr>
            </w:r>
            <w:r w:rsidR="008A5C45" w:rsidRPr="00935A1A">
              <w:rPr>
                <w:rFonts w:cs="Arial"/>
                <w:noProof/>
                <w:webHidden/>
              </w:rPr>
              <w:fldChar w:fldCharType="separate"/>
            </w:r>
            <w:r w:rsidR="002D754C" w:rsidRPr="00935A1A">
              <w:rPr>
                <w:rFonts w:cs="Arial"/>
                <w:noProof/>
                <w:webHidden/>
              </w:rPr>
              <w:t>3</w:t>
            </w:r>
            <w:r w:rsidR="008A5C45" w:rsidRPr="00935A1A">
              <w:rPr>
                <w:rFonts w:cs="Arial"/>
                <w:noProof/>
                <w:webHidden/>
              </w:rPr>
              <w:fldChar w:fldCharType="end"/>
            </w:r>
          </w:hyperlink>
        </w:p>
        <w:p w:rsidR="008A5C45" w:rsidRPr="00935A1A" w:rsidRDefault="00B94B82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 w:cs="Arial"/>
              <w:noProof/>
              <w:sz w:val="22"/>
              <w:szCs w:val="22"/>
            </w:rPr>
          </w:pPr>
          <w:hyperlink w:anchor="_Toc379188790" w:history="1">
            <w:r w:rsidR="008A5C45" w:rsidRPr="00935A1A">
              <w:rPr>
                <w:rStyle w:val="Hyperlink"/>
                <w:rFonts w:cs="Arial"/>
                <w:bCs/>
                <w:iCs/>
                <w:noProof/>
              </w:rPr>
              <w:t>6</w:t>
            </w:r>
            <w:r w:rsidR="008A5C45" w:rsidRPr="00935A1A">
              <w:rPr>
                <w:rFonts w:eastAsiaTheme="minorEastAsia" w:cs="Arial"/>
                <w:noProof/>
                <w:sz w:val="22"/>
                <w:szCs w:val="22"/>
              </w:rPr>
              <w:tab/>
            </w:r>
            <w:r w:rsidR="008A5C45" w:rsidRPr="00935A1A">
              <w:rPr>
                <w:rStyle w:val="Hyperlink"/>
                <w:rFonts w:cs="Arial"/>
                <w:noProof/>
              </w:rPr>
              <w:t>Revision History &amp; Approval</w:t>
            </w:r>
            <w:r w:rsidR="008A5C45" w:rsidRPr="00935A1A">
              <w:rPr>
                <w:rFonts w:cs="Arial"/>
                <w:noProof/>
                <w:webHidden/>
              </w:rPr>
              <w:tab/>
            </w:r>
            <w:r w:rsidR="008A5C45" w:rsidRPr="00935A1A">
              <w:rPr>
                <w:rFonts w:cs="Arial"/>
                <w:noProof/>
                <w:webHidden/>
              </w:rPr>
              <w:fldChar w:fldCharType="begin"/>
            </w:r>
            <w:r w:rsidR="008A5C45" w:rsidRPr="00935A1A">
              <w:rPr>
                <w:rFonts w:cs="Arial"/>
                <w:noProof/>
                <w:webHidden/>
              </w:rPr>
              <w:instrText xml:space="preserve"> PAGEREF _Toc379188790 \h </w:instrText>
            </w:r>
            <w:r w:rsidR="008A5C45" w:rsidRPr="00935A1A">
              <w:rPr>
                <w:rFonts w:cs="Arial"/>
                <w:noProof/>
                <w:webHidden/>
              </w:rPr>
            </w:r>
            <w:r w:rsidR="008A5C45" w:rsidRPr="00935A1A">
              <w:rPr>
                <w:rFonts w:cs="Arial"/>
                <w:noProof/>
                <w:webHidden/>
              </w:rPr>
              <w:fldChar w:fldCharType="separate"/>
            </w:r>
            <w:r w:rsidR="002D754C" w:rsidRPr="00935A1A">
              <w:rPr>
                <w:rFonts w:cs="Arial"/>
                <w:noProof/>
                <w:webHidden/>
              </w:rPr>
              <w:t>4</w:t>
            </w:r>
            <w:r w:rsidR="008A5C45" w:rsidRPr="00935A1A">
              <w:rPr>
                <w:rFonts w:cs="Arial"/>
                <w:noProof/>
                <w:webHidden/>
              </w:rPr>
              <w:fldChar w:fldCharType="end"/>
            </w:r>
          </w:hyperlink>
        </w:p>
        <w:p w:rsidR="003679BD" w:rsidRPr="00935A1A" w:rsidRDefault="00E91152">
          <w:pPr>
            <w:rPr>
              <w:rFonts w:ascii="Arial" w:hAnsi="Arial" w:cs="Arial"/>
            </w:rPr>
          </w:pPr>
          <w:r w:rsidRPr="00935A1A">
            <w:rPr>
              <w:rFonts w:ascii="Arial" w:hAnsi="Arial" w:cs="Arial"/>
            </w:rPr>
            <w:fldChar w:fldCharType="end"/>
          </w:r>
        </w:p>
      </w:sdtContent>
    </w:sdt>
    <w:p w:rsidR="00E20DFD" w:rsidRDefault="00E20DFD" w:rsidP="000E097D">
      <w:pPr>
        <w:pStyle w:val="Heading1"/>
        <w:rPr>
          <w:b w:val="0"/>
        </w:rPr>
      </w:pPr>
      <w:bookmarkStart w:id="0" w:name="_Toc346632899"/>
      <w:bookmarkStart w:id="1" w:name="_Toc379188785"/>
      <w:r w:rsidRPr="00935A1A">
        <w:rPr>
          <w:b w:val="0"/>
        </w:rPr>
        <w:t>Purpose</w:t>
      </w:r>
      <w:bookmarkEnd w:id="0"/>
      <w:bookmarkEnd w:id="1"/>
    </w:p>
    <w:p w:rsidR="001C19DC" w:rsidRPr="001C19DC" w:rsidRDefault="001C19DC" w:rsidP="001C19DC">
      <w:pPr>
        <w:pStyle w:val="Body1"/>
        <w:ind w:left="720"/>
        <w:rPr>
          <w:rFonts w:ascii="Arial" w:hAnsi="Arial" w:cs="Arial"/>
        </w:rPr>
      </w:pPr>
      <w:r w:rsidRPr="001C19DC">
        <w:rPr>
          <w:rFonts w:ascii="Arial" w:hAnsi="Arial" w:cs="Arial"/>
        </w:rPr>
        <w:t xml:space="preserve">This policy is intended to support and guide all MTS-Eden Prairie Operations Division employees and related procurement and management support staff in regard to incorporating a more integrated system of supplier lead times and delivery schedules as they pertain to requested and purchased chemical supply materials.  </w:t>
      </w:r>
    </w:p>
    <w:p w:rsidR="00EE6572" w:rsidRPr="00935A1A" w:rsidRDefault="00EE6572" w:rsidP="00EE6572">
      <w:pPr>
        <w:pStyle w:val="Heading1"/>
        <w:rPr>
          <w:b w:val="0"/>
        </w:rPr>
      </w:pPr>
      <w:bookmarkStart w:id="2" w:name="_Toc346632901"/>
      <w:bookmarkStart w:id="3" w:name="_Toc379188786"/>
      <w:r w:rsidRPr="00935A1A">
        <w:rPr>
          <w:b w:val="0"/>
        </w:rPr>
        <w:t xml:space="preserve">Scope – applies to where &amp; when the </w:t>
      </w:r>
      <w:r w:rsidR="00805FC4" w:rsidRPr="00935A1A">
        <w:rPr>
          <w:b w:val="0"/>
        </w:rPr>
        <w:t>Policy</w:t>
      </w:r>
      <w:r w:rsidRPr="00935A1A">
        <w:rPr>
          <w:b w:val="0"/>
        </w:rPr>
        <w:t xml:space="preserve"> is used</w:t>
      </w:r>
      <w:bookmarkEnd w:id="2"/>
      <w:bookmarkEnd w:id="3"/>
    </w:p>
    <w:p w:rsidR="00EE6572" w:rsidRPr="00935A1A" w:rsidRDefault="00D7728B" w:rsidP="00EE6572">
      <w:pPr>
        <w:spacing w:before="160" w:after="120" w:line="276" w:lineRule="auto"/>
        <w:ind w:left="720"/>
        <w:rPr>
          <w:rFonts w:ascii="Arial" w:hAnsi="Arial" w:cs="Arial"/>
        </w:rPr>
      </w:pPr>
      <w:r w:rsidRPr="00935A1A">
        <w:rPr>
          <w:rFonts w:ascii="Arial" w:hAnsi="Arial" w:cs="Arial"/>
        </w:rPr>
        <w:t>Applies to all MTS-Eden Prairie Operations Division departments and their emplo</w:t>
      </w:r>
      <w:r w:rsidRPr="00935A1A">
        <w:rPr>
          <w:rFonts w:ascii="Arial" w:hAnsi="Arial" w:cs="Arial"/>
        </w:rPr>
        <w:t>y</w:t>
      </w:r>
      <w:r w:rsidRPr="00935A1A">
        <w:rPr>
          <w:rFonts w:ascii="Arial" w:hAnsi="Arial" w:cs="Arial"/>
        </w:rPr>
        <w:t>ees/support staff</w:t>
      </w:r>
    </w:p>
    <w:p w:rsidR="00EE6572" w:rsidRPr="00935A1A" w:rsidRDefault="00F02C68" w:rsidP="00EE6572">
      <w:pPr>
        <w:pStyle w:val="Heading1"/>
        <w:rPr>
          <w:b w:val="0"/>
        </w:rPr>
      </w:pPr>
      <w:bookmarkStart w:id="4" w:name="_Toc379188787"/>
      <w:r w:rsidRPr="00935A1A">
        <w:rPr>
          <w:b w:val="0"/>
        </w:rPr>
        <w:t>Policy</w:t>
      </w:r>
      <w:bookmarkEnd w:id="4"/>
    </w:p>
    <w:p w:rsidR="00FB5436" w:rsidRPr="00935A1A" w:rsidRDefault="00FB5436" w:rsidP="0087598D">
      <w:pPr>
        <w:pStyle w:val="Head1"/>
        <w:tabs>
          <w:tab w:val="left" w:pos="990"/>
        </w:tabs>
        <w:ind w:right="0"/>
        <w:rPr>
          <w:rFonts w:ascii="Arial" w:hAnsi="Arial" w:cs="Arial"/>
        </w:rPr>
      </w:pPr>
      <w:r w:rsidRPr="00935A1A">
        <w:rPr>
          <w:rFonts w:ascii="Arial" w:hAnsi="Arial" w:cs="Arial"/>
        </w:rPr>
        <w:t xml:space="preserve">3.1 </w:t>
      </w:r>
      <w:r w:rsidRPr="00935A1A">
        <w:rPr>
          <w:rFonts w:ascii="Arial" w:hAnsi="Arial" w:cs="Arial"/>
        </w:rPr>
        <w:tab/>
        <w:t xml:space="preserve">Policy: </w:t>
      </w:r>
    </w:p>
    <w:p w:rsidR="00FB5436" w:rsidRPr="00935A1A" w:rsidRDefault="00FB5436" w:rsidP="00FB5436">
      <w:pPr>
        <w:pStyle w:val="Head1"/>
        <w:ind w:right="0" w:firstLine="0"/>
        <w:rPr>
          <w:rFonts w:ascii="Arial" w:hAnsi="Arial" w:cs="Arial"/>
          <w:b w:val="0"/>
        </w:rPr>
      </w:pPr>
      <w:r w:rsidRPr="00935A1A">
        <w:rPr>
          <w:rFonts w:ascii="Arial" w:hAnsi="Arial" w:cs="Arial"/>
          <w:b w:val="0"/>
        </w:rPr>
        <w:t>In the course of performing or fulfilling work obligations, projects, and related pr</w:t>
      </w:r>
      <w:r w:rsidRPr="00935A1A">
        <w:rPr>
          <w:rFonts w:ascii="Arial" w:hAnsi="Arial" w:cs="Arial"/>
          <w:b w:val="0"/>
        </w:rPr>
        <w:t>o</w:t>
      </w:r>
      <w:r w:rsidRPr="00935A1A">
        <w:rPr>
          <w:rFonts w:ascii="Arial" w:hAnsi="Arial" w:cs="Arial"/>
          <w:b w:val="0"/>
        </w:rPr>
        <w:t>cesses it may become necessary for MTS – Eden Prairie Operations employees to adopt a more “Lean” based approach and philosophy when it comes to the procur</w:t>
      </w:r>
      <w:r w:rsidRPr="00935A1A">
        <w:rPr>
          <w:rFonts w:ascii="Arial" w:hAnsi="Arial" w:cs="Arial"/>
          <w:b w:val="0"/>
        </w:rPr>
        <w:t>e</w:t>
      </w:r>
      <w:r w:rsidRPr="00935A1A">
        <w:rPr>
          <w:rFonts w:ascii="Arial" w:hAnsi="Arial" w:cs="Arial"/>
          <w:b w:val="0"/>
        </w:rPr>
        <w:t>ment, shipping, receiving, handling, and distribution of chemical items and related products throughout the production, manufacturing, research and support areas. This process would require establishing a distinct, cooperative/collaborative supplier relationship in which such materials and supplies would be easily, and readily avai</w:t>
      </w:r>
      <w:r w:rsidRPr="00935A1A">
        <w:rPr>
          <w:rFonts w:ascii="Arial" w:hAnsi="Arial" w:cs="Arial"/>
          <w:b w:val="0"/>
        </w:rPr>
        <w:t>l</w:t>
      </w:r>
      <w:r w:rsidRPr="00935A1A">
        <w:rPr>
          <w:rFonts w:ascii="Arial" w:hAnsi="Arial" w:cs="Arial"/>
          <w:b w:val="0"/>
        </w:rPr>
        <w:t xml:space="preserve">able, in amounts and areas when and as needed, and in just the right place and amounts for production activities. </w:t>
      </w:r>
    </w:p>
    <w:p w:rsidR="00FB5436" w:rsidRPr="00935A1A" w:rsidRDefault="00FB5436" w:rsidP="00FB5436">
      <w:pPr>
        <w:pStyle w:val="Head1"/>
        <w:ind w:right="0" w:firstLine="0"/>
        <w:rPr>
          <w:rFonts w:ascii="Arial" w:hAnsi="Arial" w:cs="Arial"/>
          <w:b w:val="0"/>
        </w:rPr>
      </w:pPr>
      <w:r w:rsidRPr="00935A1A">
        <w:rPr>
          <w:rFonts w:ascii="Arial" w:hAnsi="Arial" w:cs="Arial"/>
          <w:b w:val="0"/>
        </w:rPr>
        <w:t>The focus of such an effort would be to eliminate wastes generated from excess or dated/expired materials, while reducing inventory/supply and storage pressures by synchronizing the flow of needed chemicals to areas, minimizing and reducing transaction and production costs, developing rapid/quick response capabilities, all while managing supply uncertainty and risk, while aligning with core, customer dri</w:t>
      </w:r>
      <w:r w:rsidRPr="00935A1A">
        <w:rPr>
          <w:rFonts w:ascii="Arial" w:hAnsi="Arial" w:cs="Arial"/>
          <w:b w:val="0"/>
        </w:rPr>
        <w:t>v</w:t>
      </w:r>
      <w:r w:rsidRPr="00935A1A">
        <w:rPr>
          <w:rFonts w:ascii="Arial" w:hAnsi="Arial" w:cs="Arial"/>
          <w:b w:val="0"/>
        </w:rPr>
        <w:t xml:space="preserve">en production schedules and demands. </w:t>
      </w:r>
    </w:p>
    <w:p w:rsidR="00FB5436" w:rsidRPr="00935A1A" w:rsidRDefault="00FB5436" w:rsidP="00FB5436">
      <w:pPr>
        <w:pStyle w:val="Head1"/>
        <w:ind w:right="0" w:firstLine="0"/>
        <w:rPr>
          <w:rFonts w:ascii="Arial" w:hAnsi="Arial" w:cs="Arial"/>
          <w:b w:val="0"/>
          <w:sz w:val="20"/>
          <w:szCs w:val="20"/>
        </w:rPr>
      </w:pPr>
    </w:p>
    <w:p w:rsidR="00FB5436" w:rsidRPr="00935A1A" w:rsidRDefault="00FB5436" w:rsidP="0087598D">
      <w:pPr>
        <w:pStyle w:val="Heading2"/>
        <w:numPr>
          <w:ilvl w:val="1"/>
          <w:numId w:val="10"/>
        </w:numPr>
        <w:tabs>
          <w:tab w:val="clear" w:pos="1440"/>
          <w:tab w:val="left" w:pos="1080"/>
        </w:tabs>
        <w:ind w:hanging="1080"/>
        <w:rPr>
          <w:rFonts w:ascii="Arial" w:hAnsi="Arial" w:cs="Arial"/>
          <w:b/>
          <w:szCs w:val="20"/>
        </w:rPr>
      </w:pPr>
      <w:r w:rsidRPr="00935A1A">
        <w:rPr>
          <w:rFonts w:ascii="Arial" w:hAnsi="Arial" w:cs="Arial"/>
          <w:b/>
          <w:szCs w:val="20"/>
        </w:rPr>
        <w:lastRenderedPageBreak/>
        <w:t xml:space="preserve">Process: </w:t>
      </w:r>
    </w:p>
    <w:p w:rsidR="00935A1A" w:rsidRPr="00935A1A" w:rsidRDefault="00FB5436" w:rsidP="00935A1A">
      <w:pPr>
        <w:pStyle w:val="Head1"/>
        <w:ind w:right="0" w:firstLine="0"/>
        <w:rPr>
          <w:rFonts w:ascii="Arial" w:hAnsi="Arial" w:cs="Arial"/>
          <w:szCs w:val="20"/>
        </w:rPr>
      </w:pPr>
      <w:r w:rsidRPr="00935A1A">
        <w:rPr>
          <w:rFonts w:ascii="Arial" w:hAnsi="Arial" w:cs="Arial"/>
          <w:szCs w:val="20"/>
        </w:rPr>
        <w:t>3.2.1-</w:t>
      </w:r>
      <w:r w:rsidRPr="00935A1A">
        <w:rPr>
          <w:rFonts w:ascii="Arial" w:hAnsi="Arial" w:cs="Arial"/>
          <w:sz w:val="20"/>
          <w:szCs w:val="20"/>
        </w:rPr>
        <w:t xml:space="preserve"> </w:t>
      </w:r>
      <w:r w:rsidRPr="00935A1A">
        <w:rPr>
          <w:rFonts w:ascii="Arial" w:hAnsi="Arial" w:cs="Arial"/>
          <w:szCs w:val="20"/>
        </w:rPr>
        <w:t>Managers, supervisors and procurement staff will attempt to develop and foster the following lean based principles and practices:</w:t>
      </w:r>
    </w:p>
    <w:p w:rsidR="00935A1A" w:rsidRPr="00935A1A" w:rsidRDefault="00935A1A" w:rsidP="00935A1A">
      <w:pPr>
        <w:pStyle w:val="Head1"/>
        <w:rPr>
          <w:rFonts w:ascii="Arial" w:hAnsi="Arial" w:cs="Arial"/>
          <w:b w:val="0"/>
          <w:szCs w:val="20"/>
        </w:rPr>
      </w:pPr>
      <w:r w:rsidRPr="00935A1A">
        <w:rPr>
          <w:rFonts w:ascii="Arial" w:hAnsi="Arial" w:cs="Arial"/>
          <w:b w:val="0"/>
          <w:szCs w:val="20"/>
        </w:rPr>
        <w:tab/>
        <w:t>Design supplier network architecture – based upon identified customer and business strategic goals and initiative.  Management staff will identify core suppliers (generally fewer in number), utilizing measured and sustained past performance criteria.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 w:rsidRPr="00935A1A">
        <w:rPr>
          <w:rFonts w:ascii="Arial" w:hAnsi="Arial" w:cs="Arial"/>
          <w:b w:val="0"/>
          <w:szCs w:val="20"/>
        </w:rPr>
        <w:t>Develop complementary supplier capabilities – ensure supplier capabilities and confirm core competencies, targeting supplier development in order to encourage and delegate greater responsibilities for inventory support and control to the supplier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 w:rsidRPr="00935A1A">
        <w:rPr>
          <w:rFonts w:ascii="Arial" w:hAnsi="Arial" w:cs="Arial"/>
          <w:b w:val="0"/>
          <w:szCs w:val="20"/>
        </w:rPr>
        <w:t>Create flow and pull throughout the supplier network – increased process lin</w:t>
      </w:r>
      <w:r w:rsidRPr="00935A1A">
        <w:rPr>
          <w:rFonts w:ascii="Arial" w:hAnsi="Arial" w:cs="Arial"/>
          <w:b w:val="0"/>
          <w:szCs w:val="20"/>
        </w:rPr>
        <w:t>k</w:t>
      </w:r>
      <w:r w:rsidRPr="00935A1A">
        <w:rPr>
          <w:rFonts w:ascii="Arial" w:hAnsi="Arial" w:cs="Arial"/>
          <w:b w:val="0"/>
          <w:szCs w:val="20"/>
        </w:rPr>
        <w:t>ing (IT/IS infrastructure) in order to support greater two-way information e</w:t>
      </w:r>
      <w:r w:rsidRPr="00935A1A">
        <w:rPr>
          <w:rFonts w:ascii="Arial" w:hAnsi="Arial" w:cs="Arial"/>
          <w:b w:val="0"/>
          <w:szCs w:val="20"/>
        </w:rPr>
        <w:t>x</w:t>
      </w:r>
      <w:r w:rsidRPr="00935A1A">
        <w:rPr>
          <w:rFonts w:ascii="Arial" w:hAnsi="Arial" w:cs="Arial"/>
          <w:b w:val="0"/>
          <w:szCs w:val="20"/>
        </w:rPr>
        <w:t>change and more synchronized material delivery.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 w:rsidRPr="00935A1A">
        <w:rPr>
          <w:rFonts w:ascii="Arial" w:hAnsi="Arial" w:cs="Arial"/>
          <w:b w:val="0"/>
          <w:szCs w:val="20"/>
        </w:rPr>
        <w:t>Establish cooperative relationships and effective coordination mechanisms – foster mutual assistance and joint problem solving, maintain open and timely communication, increase strategic partnership and alliances with those ident</w:t>
      </w:r>
      <w:r w:rsidRPr="00935A1A">
        <w:rPr>
          <w:rFonts w:ascii="Arial" w:hAnsi="Arial" w:cs="Arial"/>
          <w:b w:val="0"/>
          <w:szCs w:val="20"/>
        </w:rPr>
        <w:t>i</w:t>
      </w:r>
      <w:r w:rsidRPr="00935A1A">
        <w:rPr>
          <w:rFonts w:ascii="Arial" w:hAnsi="Arial" w:cs="Arial"/>
          <w:b w:val="0"/>
          <w:szCs w:val="20"/>
        </w:rPr>
        <w:t>fied as reliable and effective in order to support increased interdependence and a “shared destiny” common interest, so all involved will understand what the desired business outcome is and drive towards that goal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 w:rsidRPr="00935A1A">
        <w:rPr>
          <w:rFonts w:ascii="Arial" w:hAnsi="Arial" w:cs="Arial"/>
          <w:b w:val="0"/>
          <w:szCs w:val="20"/>
        </w:rPr>
        <w:t>Maximize flexibility and responsiveness – support and encourage rapid r</w:t>
      </w:r>
      <w:r w:rsidRPr="00935A1A">
        <w:rPr>
          <w:rFonts w:ascii="Arial" w:hAnsi="Arial" w:cs="Arial"/>
          <w:b w:val="0"/>
          <w:szCs w:val="20"/>
        </w:rPr>
        <w:t>e</w:t>
      </w:r>
      <w:r w:rsidRPr="00935A1A">
        <w:rPr>
          <w:rFonts w:ascii="Arial" w:hAnsi="Arial" w:cs="Arial"/>
          <w:b w:val="0"/>
          <w:szCs w:val="20"/>
        </w:rPr>
        <w:t>sponse capabilities by creating more seamless information flows and suppor</w:t>
      </w:r>
      <w:r w:rsidRPr="00935A1A">
        <w:rPr>
          <w:rFonts w:ascii="Arial" w:hAnsi="Arial" w:cs="Arial"/>
          <w:b w:val="0"/>
          <w:szCs w:val="20"/>
        </w:rPr>
        <w:t>t</w:t>
      </w:r>
      <w:r w:rsidRPr="00935A1A">
        <w:rPr>
          <w:rFonts w:ascii="Arial" w:hAnsi="Arial" w:cs="Arial"/>
          <w:b w:val="0"/>
          <w:szCs w:val="20"/>
        </w:rPr>
        <w:t>ing flexible contracting</w:t>
      </w:r>
    </w:p>
    <w:p w:rsidR="00935A1A" w:rsidRPr="00935A1A" w:rsidRDefault="00935A1A" w:rsidP="00935A1A">
      <w:pPr>
        <w:pStyle w:val="Head1"/>
        <w:ind w:right="0" w:firstLine="0"/>
        <w:rPr>
          <w:rFonts w:ascii="Arial" w:hAnsi="Arial" w:cs="Arial"/>
          <w:b w:val="0"/>
          <w:szCs w:val="20"/>
        </w:rPr>
      </w:pPr>
      <w:r w:rsidRPr="00935A1A">
        <w:rPr>
          <w:rFonts w:ascii="Arial" w:hAnsi="Arial" w:cs="Arial"/>
          <w:b w:val="0"/>
          <w:szCs w:val="20"/>
        </w:rPr>
        <w:t>Supplier integration – include suppliers, as applicable, into some of the development and process design phases to target cost reduction opportunities and a more design to cost approach</w:t>
      </w:r>
    </w:p>
    <w:p w:rsidR="00935A1A" w:rsidRPr="00935A1A" w:rsidRDefault="00935A1A" w:rsidP="00935A1A">
      <w:pPr>
        <w:pStyle w:val="Head1"/>
        <w:ind w:right="0" w:firstLine="0"/>
        <w:rPr>
          <w:rFonts w:ascii="Arial" w:hAnsi="Arial" w:cs="Arial"/>
          <w:b w:val="0"/>
          <w:szCs w:val="20"/>
        </w:rPr>
      </w:pPr>
      <w:bookmarkStart w:id="5" w:name="_GoBack"/>
      <w:bookmarkEnd w:id="5"/>
    </w:p>
    <w:p w:rsidR="00935A1A" w:rsidRPr="00935A1A" w:rsidRDefault="00935A1A" w:rsidP="00935A1A">
      <w:pPr>
        <w:pStyle w:val="Head1"/>
        <w:ind w:right="0" w:firstLine="0"/>
        <w:rPr>
          <w:rFonts w:ascii="Arial" w:hAnsi="Arial" w:cs="Arial"/>
        </w:rPr>
      </w:pPr>
      <w:r w:rsidRPr="00935A1A">
        <w:rPr>
          <w:rFonts w:ascii="Arial" w:hAnsi="Arial" w:cs="Arial"/>
        </w:rPr>
        <w:t xml:space="preserve">3.2.2- Synchronizing Delivery with Production demands: 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</w:rPr>
      </w:pPr>
      <w:r w:rsidRPr="00935A1A">
        <w:rPr>
          <w:rFonts w:ascii="Arial" w:hAnsi="Arial" w:cs="Arial"/>
          <w:b w:val="0"/>
        </w:rPr>
        <w:t>Synchronizing production and delivery throughout a supply chain network is one of the central pillars to the lean approach and concept, entailing the fo</w:t>
      </w:r>
      <w:r w:rsidRPr="00935A1A">
        <w:rPr>
          <w:rFonts w:ascii="Arial" w:hAnsi="Arial" w:cs="Arial"/>
          <w:b w:val="0"/>
        </w:rPr>
        <w:t>l</w:t>
      </w:r>
      <w:r w:rsidRPr="00935A1A">
        <w:rPr>
          <w:rFonts w:ascii="Arial" w:hAnsi="Arial" w:cs="Arial"/>
          <w:b w:val="0"/>
        </w:rPr>
        <w:t xml:space="preserve">lowing program elements MTS could adopt over time: 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•</w:t>
      </w:r>
      <w:r w:rsidRPr="00935A1A">
        <w:rPr>
          <w:rFonts w:ascii="Arial" w:hAnsi="Arial" w:cs="Arial"/>
          <w:b w:val="0"/>
        </w:rPr>
        <w:t>Integration of supplier lead times and delivery schedules as much as poss</w:t>
      </w:r>
      <w:r w:rsidRPr="00935A1A">
        <w:rPr>
          <w:rFonts w:ascii="Arial" w:hAnsi="Arial" w:cs="Arial"/>
          <w:b w:val="0"/>
        </w:rPr>
        <w:t>i</w:t>
      </w:r>
      <w:r w:rsidRPr="00935A1A">
        <w:rPr>
          <w:rFonts w:ascii="Arial" w:hAnsi="Arial" w:cs="Arial"/>
          <w:b w:val="0"/>
        </w:rPr>
        <w:t>ble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•</w:t>
      </w:r>
      <w:r w:rsidRPr="00935A1A">
        <w:rPr>
          <w:rFonts w:ascii="Arial" w:hAnsi="Arial" w:cs="Arial"/>
          <w:b w:val="0"/>
        </w:rPr>
        <w:t>Utilize such tools as cycle/</w:t>
      </w:r>
      <w:proofErr w:type="spellStart"/>
      <w:r w:rsidRPr="00935A1A">
        <w:rPr>
          <w:rFonts w:ascii="Arial" w:hAnsi="Arial" w:cs="Arial"/>
          <w:b w:val="0"/>
        </w:rPr>
        <w:t>takt</w:t>
      </w:r>
      <w:proofErr w:type="spellEnd"/>
      <w:r w:rsidRPr="00935A1A">
        <w:rPr>
          <w:rFonts w:ascii="Arial" w:hAnsi="Arial" w:cs="Arial"/>
          <w:b w:val="0"/>
        </w:rPr>
        <w:t xml:space="preserve"> time determinations, load leveling, line balan</w:t>
      </w:r>
      <w:r w:rsidRPr="00935A1A">
        <w:rPr>
          <w:rFonts w:ascii="Arial" w:hAnsi="Arial" w:cs="Arial"/>
          <w:b w:val="0"/>
        </w:rPr>
        <w:t>c</w:t>
      </w:r>
      <w:r w:rsidRPr="00935A1A">
        <w:rPr>
          <w:rFonts w:ascii="Arial" w:hAnsi="Arial" w:cs="Arial"/>
          <w:b w:val="0"/>
        </w:rPr>
        <w:t>ing or when applicable, one piece flow systems to tie into suppliers and direc</w:t>
      </w:r>
      <w:r w:rsidRPr="00935A1A">
        <w:rPr>
          <w:rFonts w:ascii="Arial" w:hAnsi="Arial" w:cs="Arial"/>
          <w:b w:val="0"/>
        </w:rPr>
        <w:t>t</w:t>
      </w:r>
      <w:r w:rsidRPr="00935A1A">
        <w:rPr>
          <w:rFonts w:ascii="Arial" w:hAnsi="Arial" w:cs="Arial"/>
          <w:b w:val="0"/>
        </w:rPr>
        <w:t>ly reflect customer demands, while minimizing storage and raw material supply demands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•</w:t>
      </w:r>
      <w:r w:rsidRPr="00935A1A">
        <w:rPr>
          <w:rFonts w:ascii="Arial" w:hAnsi="Arial" w:cs="Arial"/>
          <w:b w:val="0"/>
        </w:rPr>
        <w:t>Attempt to minimize inventory through all tiers of the supply chain for all chemical products and materials – focus on the most common mater</w:t>
      </w:r>
      <w:r w:rsidRPr="00935A1A">
        <w:rPr>
          <w:rFonts w:ascii="Arial" w:hAnsi="Arial" w:cs="Arial"/>
          <w:b w:val="0"/>
        </w:rPr>
        <w:t>i</w:t>
      </w:r>
      <w:r w:rsidRPr="00935A1A">
        <w:rPr>
          <w:rFonts w:ascii="Arial" w:hAnsi="Arial" w:cs="Arial"/>
          <w:b w:val="0"/>
        </w:rPr>
        <w:t>als/those more readily obtained from suppliers and warehouses</w:t>
      </w:r>
    </w:p>
    <w:p w:rsidR="00935A1A" w:rsidRPr="00935A1A" w:rsidRDefault="00935A1A" w:rsidP="00935A1A">
      <w:pPr>
        <w:pStyle w:val="Head1"/>
        <w:rPr>
          <w:rFonts w:ascii="Arial" w:hAnsi="Arial" w:cs="Arial"/>
          <w:b w:val="0"/>
        </w:rPr>
      </w:pP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•</w:t>
      </w:r>
      <w:r w:rsidRPr="00935A1A">
        <w:rPr>
          <w:rFonts w:ascii="Arial" w:hAnsi="Arial" w:cs="Arial"/>
          <w:b w:val="0"/>
        </w:rPr>
        <w:t>On-time supplier delivery to point of use for chemical items and materials as much as possible (options for as needed warehouse and other potential a</w:t>
      </w:r>
      <w:r w:rsidRPr="00935A1A">
        <w:rPr>
          <w:rFonts w:ascii="Arial" w:hAnsi="Arial" w:cs="Arial"/>
          <w:b w:val="0"/>
        </w:rPr>
        <w:t>r</w:t>
      </w:r>
      <w:r w:rsidRPr="00935A1A">
        <w:rPr>
          <w:rFonts w:ascii="Arial" w:hAnsi="Arial" w:cs="Arial"/>
          <w:b w:val="0"/>
        </w:rPr>
        <w:t xml:space="preserve">rangements with suppliers) 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•</w:t>
      </w:r>
      <w:r w:rsidRPr="00935A1A">
        <w:rPr>
          <w:rFonts w:ascii="Arial" w:hAnsi="Arial" w:cs="Arial"/>
          <w:b w:val="0"/>
        </w:rPr>
        <w:t>Drive suppliers towards zero quality defects and reduce overall source or i</w:t>
      </w:r>
      <w:r w:rsidRPr="00935A1A">
        <w:rPr>
          <w:rFonts w:ascii="Arial" w:hAnsi="Arial" w:cs="Arial"/>
          <w:b w:val="0"/>
        </w:rPr>
        <w:t>n</w:t>
      </w:r>
      <w:r w:rsidRPr="00935A1A">
        <w:rPr>
          <w:rFonts w:ascii="Arial" w:hAnsi="Arial" w:cs="Arial"/>
          <w:b w:val="0"/>
        </w:rPr>
        <w:t>coming inspection needs</w:t>
      </w:r>
    </w:p>
    <w:p w:rsidR="00935A1A" w:rsidRDefault="00935A1A" w:rsidP="00935A1A">
      <w:pPr>
        <w:pStyle w:val="Head1"/>
        <w:ind w:righ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•</w:t>
      </w:r>
      <w:r w:rsidRPr="00935A1A">
        <w:rPr>
          <w:rFonts w:ascii="Arial" w:hAnsi="Arial" w:cs="Arial"/>
          <w:b w:val="0"/>
        </w:rPr>
        <w:t>Expect and evaluate suppliers based upon increasing their efficiencies and the benefits to production from on-time, as needed materials (when applicable) = conti</w:t>
      </w:r>
      <w:r w:rsidRPr="00935A1A">
        <w:rPr>
          <w:rFonts w:ascii="Arial" w:hAnsi="Arial" w:cs="Arial"/>
          <w:b w:val="0"/>
        </w:rPr>
        <w:t>n</w:t>
      </w:r>
      <w:r w:rsidRPr="00935A1A">
        <w:rPr>
          <w:rFonts w:ascii="Arial" w:hAnsi="Arial" w:cs="Arial"/>
          <w:b w:val="0"/>
        </w:rPr>
        <w:t>uous drive  to improve turnaround times and products  by monitoring and measuring performance- highlight such progress in a visible and notable way, and encourage the development of more environmentally and health/safety improvements for mat</w:t>
      </w:r>
      <w:r w:rsidRPr="00935A1A">
        <w:rPr>
          <w:rFonts w:ascii="Arial" w:hAnsi="Arial" w:cs="Arial"/>
          <w:b w:val="0"/>
        </w:rPr>
        <w:t>e</w:t>
      </w:r>
      <w:r w:rsidRPr="00935A1A">
        <w:rPr>
          <w:rFonts w:ascii="Arial" w:hAnsi="Arial" w:cs="Arial"/>
          <w:b w:val="0"/>
        </w:rPr>
        <w:t>rials and items utilized (alternative or replacement options and development possibi</w:t>
      </w:r>
      <w:r w:rsidRPr="00935A1A">
        <w:rPr>
          <w:rFonts w:ascii="Arial" w:hAnsi="Arial" w:cs="Arial"/>
          <w:b w:val="0"/>
        </w:rPr>
        <w:t>l</w:t>
      </w:r>
      <w:r w:rsidRPr="00935A1A">
        <w:rPr>
          <w:rFonts w:ascii="Arial" w:hAnsi="Arial" w:cs="Arial"/>
          <w:b w:val="0"/>
        </w:rPr>
        <w:t>ities explored)</w:t>
      </w:r>
    </w:p>
    <w:p w:rsidR="00935A1A" w:rsidRDefault="00935A1A" w:rsidP="00935A1A">
      <w:pPr>
        <w:pStyle w:val="Head1"/>
        <w:ind w:right="0" w:firstLine="0"/>
        <w:rPr>
          <w:rFonts w:ascii="Arial" w:hAnsi="Arial" w:cs="Arial"/>
          <w:b w:val="0"/>
        </w:rPr>
      </w:pPr>
    </w:p>
    <w:p w:rsidR="00935A1A" w:rsidRPr="00935A1A" w:rsidRDefault="00935A1A" w:rsidP="00935A1A">
      <w:pPr>
        <w:pStyle w:val="Head1"/>
        <w:ind w:right="0" w:firstLine="0"/>
        <w:rPr>
          <w:rFonts w:ascii="Arial" w:hAnsi="Arial" w:cs="Arial"/>
        </w:rPr>
      </w:pPr>
      <w:r w:rsidRPr="00935A1A">
        <w:rPr>
          <w:rFonts w:ascii="Arial" w:hAnsi="Arial" w:cs="Arial"/>
        </w:rPr>
        <w:t>3.2.3-Mutual benefits derived from establishing strong strategic partnerships and alliances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•</w:t>
      </w:r>
      <w:r w:rsidRPr="00935A1A">
        <w:rPr>
          <w:rFonts w:ascii="Arial" w:hAnsi="Arial" w:cs="Arial"/>
          <w:b w:val="0"/>
          <w:szCs w:val="20"/>
        </w:rPr>
        <w:t>Reduced transaction costs (less information gathering time/effort and cost, less contract negotiation and billing/processing time)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•</w:t>
      </w:r>
      <w:r w:rsidRPr="00935A1A">
        <w:rPr>
          <w:rFonts w:ascii="Arial" w:hAnsi="Arial" w:cs="Arial"/>
          <w:b w:val="0"/>
          <w:szCs w:val="20"/>
        </w:rPr>
        <w:t>Improved resource planning and investment decisions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•</w:t>
      </w:r>
      <w:r w:rsidRPr="00935A1A">
        <w:rPr>
          <w:rFonts w:ascii="Arial" w:hAnsi="Arial" w:cs="Arial"/>
          <w:b w:val="0"/>
          <w:szCs w:val="20"/>
        </w:rPr>
        <w:t>Greater production predictability and efficiency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•</w:t>
      </w:r>
      <w:r w:rsidRPr="00935A1A">
        <w:rPr>
          <w:rFonts w:ascii="Arial" w:hAnsi="Arial" w:cs="Arial"/>
          <w:b w:val="0"/>
          <w:szCs w:val="20"/>
        </w:rPr>
        <w:t>Improved deployment of complementary capabilities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•</w:t>
      </w:r>
      <w:r w:rsidRPr="00935A1A">
        <w:rPr>
          <w:rFonts w:ascii="Arial" w:hAnsi="Arial" w:cs="Arial"/>
          <w:b w:val="0"/>
          <w:szCs w:val="20"/>
        </w:rPr>
        <w:t>Greater knowledge integration and R&amp;D effectiveness – better understanding of feasibility, best approaches and the overall capacity of clients/markets to deliver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•</w:t>
      </w:r>
      <w:r w:rsidRPr="00935A1A">
        <w:rPr>
          <w:rFonts w:ascii="Arial" w:hAnsi="Arial" w:cs="Arial"/>
          <w:b w:val="0"/>
          <w:szCs w:val="20"/>
        </w:rPr>
        <w:t>Incentives for increased innovation (through potential cost-sharing, risk sha</w:t>
      </w:r>
      <w:r w:rsidRPr="00935A1A">
        <w:rPr>
          <w:rFonts w:ascii="Arial" w:hAnsi="Arial" w:cs="Arial"/>
          <w:b w:val="0"/>
          <w:szCs w:val="20"/>
        </w:rPr>
        <w:t>r</w:t>
      </w:r>
      <w:r w:rsidRPr="00935A1A">
        <w:rPr>
          <w:rFonts w:ascii="Arial" w:hAnsi="Arial" w:cs="Arial"/>
          <w:b w:val="0"/>
          <w:szCs w:val="20"/>
        </w:rPr>
        <w:t>ing or knowledge-sharing efforts)</w:t>
      </w:r>
    </w:p>
    <w:p w:rsidR="00935A1A" w:rsidRPr="00935A1A" w:rsidRDefault="00935A1A" w:rsidP="00935A1A">
      <w:pPr>
        <w:pStyle w:val="Head1"/>
        <w:ind w:firstLine="0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•</w:t>
      </w:r>
      <w:r w:rsidRPr="00935A1A">
        <w:rPr>
          <w:rFonts w:ascii="Arial" w:hAnsi="Arial" w:cs="Arial"/>
          <w:b w:val="0"/>
          <w:szCs w:val="20"/>
        </w:rPr>
        <w:t>Increased mutual commitment to improving joint long-term competitive pe</w:t>
      </w:r>
      <w:r w:rsidRPr="00935A1A">
        <w:rPr>
          <w:rFonts w:ascii="Arial" w:hAnsi="Arial" w:cs="Arial"/>
          <w:b w:val="0"/>
          <w:szCs w:val="20"/>
        </w:rPr>
        <w:t>r</w:t>
      </w:r>
      <w:r w:rsidRPr="00935A1A">
        <w:rPr>
          <w:rFonts w:ascii="Arial" w:hAnsi="Arial" w:cs="Arial"/>
          <w:b w:val="0"/>
          <w:szCs w:val="20"/>
        </w:rPr>
        <w:t>formance for both MTS and its suppliers/providers</w:t>
      </w:r>
    </w:p>
    <w:p w:rsidR="00FB5436" w:rsidRPr="00935A1A" w:rsidRDefault="00FB5436" w:rsidP="00935A1A">
      <w:pPr>
        <w:pStyle w:val="Head1"/>
        <w:ind w:left="0" w:right="0" w:firstLine="0"/>
        <w:rPr>
          <w:rFonts w:ascii="Arial" w:hAnsi="Arial" w:cs="Arial"/>
          <w:b w:val="0"/>
          <w:szCs w:val="20"/>
        </w:rPr>
      </w:pPr>
    </w:p>
    <w:p w:rsidR="00EE6572" w:rsidRPr="004F0A8C" w:rsidRDefault="00EE6572" w:rsidP="004F0A8C">
      <w:pPr>
        <w:pStyle w:val="Head1"/>
        <w:ind w:right="0"/>
        <w:rPr>
          <w:rFonts w:ascii="Arial" w:hAnsi="Arial" w:cs="Arial"/>
          <w:b w:val="0"/>
          <w:szCs w:val="20"/>
        </w:rPr>
      </w:pPr>
    </w:p>
    <w:p w:rsidR="00EE6572" w:rsidRPr="00935A1A" w:rsidRDefault="00EE6572" w:rsidP="00EE6572">
      <w:pPr>
        <w:pStyle w:val="Heading1"/>
        <w:rPr>
          <w:b w:val="0"/>
        </w:rPr>
      </w:pPr>
      <w:bookmarkStart w:id="6" w:name="_Toc379188788"/>
      <w:bookmarkStart w:id="7" w:name="_Toc346632911"/>
      <w:r w:rsidRPr="00935A1A">
        <w:rPr>
          <w:b w:val="0"/>
        </w:rPr>
        <w:t xml:space="preserve">Reference </w:t>
      </w:r>
      <w:r w:rsidR="00805FC4" w:rsidRPr="00935A1A">
        <w:rPr>
          <w:b w:val="0"/>
        </w:rPr>
        <w:t>Procedure (or Work Instruction)</w:t>
      </w:r>
      <w:bookmarkEnd w:id="6"/>
      <w:r w:rsidRPr="00935A1A">
        <w:rPr>
          <w:b w:val="0"/>
        </w:rPr>
        <w:t xml:space="preserve"> </w:t>
      </w:r>
      <w:bookmarkEnd w:id="7"/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3675"/>
      </w:tblGrid>
      <w:tr w:rsidR="00EE6572" w:rsidRPr="00935A1A" w:rsidTr="003E27CE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805FC4" w:rsidP="003E27CE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Procedure</w:t>
            </w:r>
            <w:r w:rsidR="00EE6572" w:rsidRPr="00935A1A">
              <w:rPr>
                <w:rFonts w:ascii="Arial" w:hAnsi="Arial" w:cs="Arial"/>
                <w:sz w:val="22"/>
                <w:szCs w:val="22"/>
              </w:rPr>
              <w:t xml:space="preserve"> Title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00EE6572" w:rsidRPr="00935A1A" w:rsidTr="003E27CE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4F0A8C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Toyota Motor Company-Lean Manufacturing Principles and Just in Time Practices 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640CAE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hyperlink r:id="rId9" w:history="1">
              <w:r w:rsidRPr="00640CAE">
                <w:rPr>
                  <w:rStyle w:val="Hyperlink"/>
                  <w:rFonts w:ascii="Arial" w:hAnsi="Arial" w:cs="Arial"/>
                </w:rPr>
                <w:t>http://www.toyota-global.com/company/vision_philosophy/toyota_production_system/</w:t>
              </w:r>
            </w:hyperlink>
          </w:p>
        </w:tc>
      </w:tr>
      <w:tr w:rsidR="00EE6572" w:rsidRPr="00935A1A" w:rsidTr="003E27CE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</w:tr>
      <w:tr w:rsidR="00EE6572" w:rsidRPr="00935A1A" w:rsidTr="003E27CE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</w:tr>
    </w:tbl>
    <w:p w:rsidR="00EE6572" w:rsidRPr="00935A1A" w:rsidRDefault="00EE6572" w:rsidP="00EE6572">
      <w:pPr>
        <w:suppressAutoHyphens/>
        <w:rPr>
          <w:rFonts w:ascii="Arial" w:hAnsi="Arial" w:cs="Arial"/>
        </w:rPr>
      </w:pPr>
    </w:p>
    <w:p w:rsidR="008A5C45" w:rsidRPr="00935A1A" w:rsidRDefault="008A5C45" w:rsidP="00EE6572">
      <w:pPr>
        <w:suppressAutoHyphens/>
        <w:rPr>
          <w:rFonts w:ascii="Arial" w:hAnsi="Arial" w:cs="Arial"/>
        </w:rPr>
      </w:pPr>
    </w:p>
    <w:p w:rsidR="008A5C45" w:rsidRPr="00935A1A" w:rsidRDefault="008A5C45" w:rsidP="00EE6572">
      <w:pPr>
        <w:suppressAutoHyphens/>
        <w:rPr>
          <w:rFonts w:ascii="Arial" w:hAnsi="Arial" w:cs="Arial"/>
        </w:rPr>
      </w:pPr>
    </w:p>
    <w:p w:rsidR="008A5C45" w:rsidRPr="00935A1A" w:rsidRDefault="008A5C45" w:rsidP="00EE6572">
      <w:pPr>
        <w:suppressAutoHyphens/>
        <w:rPr>
          <w:rFonts w:ascii="Arial" w:hAnsi="Arial" w:cs="Arial"/>
        </w:rPr>
      </w:pPr>
    </w:p>
    <w:p w:rsidR="008A5C45" w:rsidRPr="00935A1A" w:rsidRDefault="008A5C45" w:rsidP="00EE6572">
      <w:pPr>
        <w:suppressAutoHyphens/>
        <w:rPr>
          <w:rFonts w:ascii="Arial" w:hAnsi="Arial" w:cs="Arial"/>
        </w:rPr>
      </w:pPr>
    </w:p>
    <w:p w:rsidR="008A5C45" w:rsidRPr="00935A1A" w:rsidRDefault="008A5C45" w:rsidP="00EE6572">
      <w:pPr>
        <w:suppressAutoHyphens/>
        <w:rPr>
          <w:rFonts w:ascii="Arial" w:hAnsi="Arial" w:cs="Arial"/>
        </w:rPr>
      </w:pPr>
    </w:p>
    <w:p w:rsidR="008A5C45" w:rsidRPr="00935A1A" w:rsidRDefault="008A5C45" w:rsidP="00EE6572">
      <w:pPr>
        <w:suppressAutoHyphens/>
        <w:rPr>
          <w:rFonts w:ascii="Arial" w:hAnsi="Arial" w:cs="Arial"/>
        </w:rPr>
      </w:pPr>
    </w:p>
    <w:p w:rsidR="00EE6572" w:rsidRPr="00935A1A" w:rsidRDefault="00EE6572" w:rsidP="00EE6572">
      <w:pPr>
        <w:pStyle w:val="Heading1"/>
        <w:rPr>
          <w:b w:val="0"/>
        </w:rPr>
      </w:pPr>
      <w:bookmarkStart w:id="8" w:name="_Toc346632912"/>
      <w:bookmarkStart w:id="9" w:name="_Toc379188789"/>
      <w:r w:rsidRPr="00935A1A">
        <w:rPr>
          <w:b w:val="0"/>
        </w:rPr>
        <w:t>Current Revision’s Training Requirements</w:t>
      </w:r>
      <w:bookmarkEnd w:id="8"/>
      <w:bookmarkEnd w:id="9"/>
    </w:p>
    <w:p w:rsidR="00F95A4C" w:rsidRPr="00935A1A" w:rsidRDefault="00F95A4C" w:rsidP="00E65BCB">
      <w:pPr>
        <w:pStyle w:val="ListParagraph"/>
        <w:suppressAutoHyphens/>
        <w:spacing w:before="60" w:after="80"/>
        <w:ind w:left="1440"/>
        <w:rPr>
          <w:rFonts w:ascii="Arial" w:hAnsi="Arial" w:cs="Arial"/>
        </w:rPr>
      </w:pPr>
    </w:p>
    <w:p w:rsidR="00F95A4C" w:rsidRPr="00935A1A" w:rsidRDefault="00F95A4C">
      <w:pPr>
        <w:rPr>
          <w:rFonts w:ascii="Arial" w:hAnsi="Arial" w:cs="Arial"/>
        </w:rPr>
      </w:pPr>
    </w:p>
    <w:p w:rsidR="00EE6572" w:rsidRPr="00935A1A" w:rsidRDefault="00EE6572" w:rsidP="00EE6572">
      <w:pPr>
        <w:rPr>
          <w:rFonts w:ascii="Arial" w:hAnsi="Arial" w:cs="Arial"/>
        </w:rPr>
      </w:pPr>
    </w:p>
    <w:p w:rsidR="00EE6572" w:rsidRPr="00935A1A" w:rsidRDefault="00EE6572" w:rsidP="00EE6572">
      <w:pPr>
        <w:pStyle w:val="Heading1"/>
        <w:rPr>
          <w:b w:val="0"/>
        </w:rPr>
      </w:pPr>
      <w:bookmarkStart w:id="10" w:name="_Toc346632913"/>
      <w:bookmarkStart w:id="11" w:name="_Toc379188790"/>
      <w:r w:rsidRPr="00935A1A">
        <w:rPr>
          <w:b w:val="0"/>
        </w:rPr>
        <w:t>Revision History &amp; Approval</w:t>
      </w:r>
      <w:bookmarkEnd w:id="10"/>
      <w:bookmarkEnd w:id="11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EE6572" w:rsidRPr="00935A1A" w:rsidTr="003E27CE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Revision History</w:t>
            </w:r>
          </w:p>
        </w:tc>
      </w:tr>
      <w:tr w:rsidR="00EE6572" w:rsidRPr="00935A1A" w:rsidTr="003E27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Effective Date</w:t>
            </w:r>
          </w:p>
        </w:tc>
      </w:tr>
      <w:tr w:rsidR="00EE6572" w:rsidRPr="00935A1A" w:rsidTr="003E27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076445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935A1A">
              <w:rPr>
                <w:rFonts w:ascii="Arial" w:hAnsi="Arial" w:cs="Arial"/>
              </w:rP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076445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935A1A">
              <w:rPr>
                <w:rFonts w:ascii="Arial" w:hAnsi="Arial" w:cs="Arial"/>
              </w:rPr>
              <w:t xml:space="preserve">Initial </w:t>
            </w:r>
            <w:r w:rsidR="008505A7" w:rsidRPr="00935A1A">
              <w:rPr>
                <w:rFonts w:ascii="Arial" w:hAnsi="Arial" w:cs="Arial"/>
              </w:rPr>
              <w:t>release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D7728B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935A1A">
              <w:rPr>
                <w:rFonts w:ascii="Arial" w:hAnsi="Arial" w:cs="Arial"/>
              </w:rPr>
              <w:t>James Kinney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D7728B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935A1A">
              <w:rPr>
                <w:rFonts w:ascii="Arial" w:hAnsi="Arial" w:cs="Arial"/>
              </w:rPr>
              <w:t>12-30-15</w:t>
            </w:r>
          </w:p>
        </w:tc>
      </w:tr>
      <w:tr w:rsidR="00EE6572" w:rsidRPr="00935A1A" w:rsidTr="003E27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  <w:tr w:rsidR="00EE6572" w:rsidRPr="00935A1A" w:rsidTr="003E27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</w:tbl>
    <w:p w:rsidR="00EE6572" w:rsidRPr="00935A1A" w:rsidRDefault="00EE6572" w:rsidP="00EE6572">
      <w:pPr>
        <w:spacing w:before="60" w:after="60"/>
        <w:ind w:left="720"/>
        <w:rPr>
          <w:rFonts w:ascii="Arial" w:hAnsi="Arial" w:cs="Arial"/>
        </w:rPr>
      </w:pPr>
    </w:p>
    <w:p w:rsidR="00EE3844" w:rsidRPr="00935A1A" w:rsidRDefault="00EE3844" w:rsidP="00EE6572">
      <w:pPr>
        <w:spacing w:before="60" w:after="60"/>
        <w:ind w:left="720"/>
        <w:rPr>
          <w:rFonts w:ascii="Arial" w:hAnsi="Arial" w:cs="Arial"/>
        </w:rPr>
      </w:pPr>
      <w:r w:rsidRPr="00935A1A">
        <w:rPr>
          <w:rFonts w:ascii="Arial" w:hAnsi="Arial" w:cs="Arial"/>
        </w:rPr>
        <w:t xml:space="preserve">All QMS </w:t>
      </w:r>
      <w:r w:rsidR="00E6346B" w:rsidRPr="00935A1A">
        <w:rPr>
          <w:rFonts w:ascii="Arial" w:hAnsi="Arial" w:cs="Arial"/>
        </w:rPr>
        <w:t xml:space="preserve">Policies must be approved by the </w:t>
      </w:r>
      <w:r w:rsidRPr="00935A1A">
        <w:rPr>
          <w:rFonts w:ascii="Arial" w:hAnsi="Arial" w:cs="Arial"/>
        </w:rPr>
        <w:t>Quality Management Representative.</w:t>
      </w: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07"/>
        <w:gridCol w:w="4949"/>
        <w:gridCol w:w="2037"/>
      </w:tblGrid>
      <w:tr w:rsidR="00EE6572" w:rsidRPr="00935A1A" w:rsidTr="003E27CE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Approval of Current Revision</w:t>
            </w:r>
          </w:p>
        </w:tc>
      </w:tr>
      <w:tr w:rsidR="00EE6572" w:rsidRPr="00935A1A" w:rsidTr="003E27CE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805FC4" w:rsidRPr="00935A1A">
              <w:rPr>
                <w:rFonts w:ascii="Arial" w:hAnsi="Arial" w:cs="Arial"/>
                <w:sz w:val="22"/>
                <w:szCs w:val="22"/>
              </w:rPr>
              <w:t>of Quality Management Representative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A1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EE6572" w:rsidRPr="00935A1A" w:rsidTr="003E27CE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  <w:tr w:rsidR="00EE6572" w:rsidRPr="00935A1A" w:rsidTr="003E27CE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  <w:tr w:rsidR="00EE6572" w:rsidRPr="00935A1A" w:rsidTr="003E27CE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2" w:rsidRPr="00935A1A" w:rsidRDefault="00EE6572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</w:tbl>
    <w:p w:rsidR="00EE6572" w:rsidRPr="00935A1A" w:rsidRDefault="00EE6572" w:rsidP="00EE6572">
      <w:pPr>
        <w:ind w:left="720"/>
        <w:rPr>
          <w:rFonts w:ascii="Arial" w:hAnsi="Arial" w:cs="Arial"/>
          <w:sz w:val="4"/>
        </w:rPr>
      </w:pPr>
    </w:p>
    <w:p w:rsidR="00E20DFD" w:rsidRPr="00935A1A" w:rsidRDefault="00E20DFD" w:rsidP="00120E56">
      <w:pPr>
        <w:ind w:left="720"/>
        <w:rPr>
          <w:rFonts w:ascii="Arial" w:hAnsi="Arial" w:cs="Arial"/>
          <w:sz w:val="4"/>
        </w:rPr>
      </w:pPr>
    </w:p>
    <w:sectPr w:rsidR="00E20DFD" w:rsidRPr="00935A1A" w:rsidSect="00B20F0A">
      <w:headerReference w:type="default" r:id="rId10"/>
      <w:footerReference w:type="default" r:id="rId11"/>
      <w:footnotePr>
        <w:numFmt w:val="lowerRoman"/>
      </w:footnotePr>
      <w:endnotePr>
        <w:numFmt w:val="decimal"/>
      </w:endnotePr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F3" w:rsidRDefault="005029F3">
      <w:r>
        <w:separator/>
      </w:r>
    </w:p>
    <w:p w:rsidR="005029F3" w:rsidRDefault="005029F3"/>
    <w:p w:rsidR="005029F3" w:rsidRDefault="005029F3" w:rsidP="00F406FB"/>
  </w:endnote>
  <w:endnote w:type="continuationSeparator" w:id="0">
    <w:p w:rsidR="005029F3" w:rsidRDefault="005029F3">
      <w:r>
        <w:continuationSeparator/>
      </w:r>
    </w:p>
    <w:p w:rsidR="005029F3" w:rsidRDefault="005029F3"/>
    <w:p w:rsidR="005029F3" w:rsidRDefault="005029F3" w:rsidP="00F4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E4" w:rsidRDefault="005F28E4" w:rsidP="005F28E4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827C40">
      <w:rPr>
        <w:b/>
        <w:noProof/>
        <w:sz w:val="16"/>
      </w:rPr>
      <w:t>3/3/16</w:t>
    </w:r>
    <w:r>
      <w:rPr>
        <w:b/>
        <w:sz w:val="16"/>
      </w:rPr>
      <w:fldChar w:fldCharType="end"/>
    </w:r>
  </w:p>
  <w:p w:rsidR="00E20DFD" w:rsidRPr="005F28E4" w:rsidRDefault="005F28E4" w:rsidP="005F28E4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F3" w:rsidRDefault="005029F3">
      <w:r>
        <w:separator/>
      </w:r>
    </w:p>
    <w:p w:rsidR="005029F3" w:rsidRDefault="005029F3"/>
    <w:p w:rsidR="005029F3" w:rsidRDefault="005029F3" w:rsidP="00F406FB"/>
  </w:footnote>
  <w:footnote w:type="continuationSeparator" w:id="0">
    <w:p w:rsidR="005029F3" w:rsidRDefault="005029F3">
      <w:r>
        <w:continuationSeparator/>
      </w:r>
    </w:p>
    <w:p w:rsidR="005029F3" w:rsidRDefault="005029F3"/>
    <w:p w:rsidR="005029F3" w:rsidRDefault="005029F3" w:rsidP="00F406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485"/>
      <w:gridCol w:w="4860"/>
      <w:gridCol w:w="1755"/>
      <w:gridCol w:w="2048"/>
    </w:tblGrid>
    <w:tr w:rsidR="00D808FE" w:rsidTr="00F02C68">
      <w:trPr>
        <w:cantSplit/>
        <w:jc w:val="center"/>
      </w:trPr>
      <w:tc>
        <w:tcPr>
          <w:tcW w:w="1485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:rsidR="00D808FE" w:rsidRDefault="009A5A8F" w:rsidP="009A5A8F">
          <w:pPr>
            <w:jc w:val="center"/>
          </w:pPr>
          <w:r>
            <w:rPr>
              <w:noProof/>
            </w:rPr>
            <w:drawing>
              <wp:inline distT="0" distB="0" distL="0" distR="0" wp14:anchorId="1EB037B9" wp14:editId="69567937">
                <wp:extent cx="616585" cy="382905"/>
                <wp:effectExtent l="0" t="0" r="0" b="0"/>
                <wp:docPr id="5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F2F2F2" w:themeFill="background1" w:themeFillShade="F2"/>
        </w:tcPr>
        <w:p w:rsidR="00D808FE" w:rsidRPr="009A457C" w:rsidRDefault="00D808FE" w:rsidP="00B20F0A">
          <w:pPr>
            <w:spacing w:before="60" w:after="80"/>
            <w:jc w:val="center"/>
            <w:rPr>
              <w:rFonts w:ascii="Arial" w:hAnsi="Arial" w:cs="Arial"/>
              <w:b/>
            </w:rPr>
          </w:pPr>
          <w:r w:rsidRPr="009A457C">
            <w:rPr>
              <w:rFonts w:ascii="Arial" w:hAnsi="Arial" w:cs="Arial"/>
              <w:b/>
            </w:rPr>
            <w:t xml:space="preserve">QMS </w:t>
          </w:r>
          <w:r w:rsidR="00F02C68">
            <w:rPr>
              <w:rFonts w:ascii="Arial" w:hAnsi="Arial" w:cs="Arial"/>
              <w:b/>
            </w:rPr>
            <w:t>Policy</w:t>
          </w:r>
        </w:p>
        <w:p w:rsidR="00D808FE" w:rsidRPr="004E6111" w:rsidRDefault="00D808FE" w:rsidP="00B20F0A">
          <w:pPr>
            <w:spacing w:before="60" w:after="80"/>
            <w:jc w:val="center"/>
            <w:rPr>
              <w:rFonts w:ascii="Arial" w:hAnsi="Arial" w:cs="Arial"/>
              <w:b/>
              <w:sz w:val="28"/>
            </w:rPr>
          </w:pPr>
          <w:r w:rsidRPr="009A457C">
            <w:rPr>
              <w:rFonts w:ascii="Arial" w:hAnsi="Arial" w:cs="Arial"/>
              <w:b/>
            </w:rPr>
            <w:t>MTS Systems Corporation – MTS Test</w:t>
          </w:r>
        </w:p>
      </w:tc>
      <w:tc>
        <w:tcPr>
          <w:tcW w:w="1755" w:type="dxa"/>
          <w:tcBorders>
            <w:top w:val="single" w:sz="12" w:space="0" w:color="auto"/>
            <w:left w:val="nil"/>
            <w:bottom w:val="nil"/>
            <w:right w:val="single" w:sz="6" w:space="0" w:color="auto"/>
          </w:tcBorders>
          <w:shd w:val="clear" w:color="auto" w:fill="F2F2F2" w:themeFill="background1" w:themeFillShade="F2"/>
        </w:tcPr>
        <w:p w:rsidR="00D808FE" w:rsidRPr="009A457C" w:rsidRDefault="00D808FE" w:rsidP="00D808FE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>Document Number:</w:t>
          </w:r>
        </w:p>
        <w:p w:rsidR="00D808FE" w:rsidRPr="0069715D" w:rsidRDefault="00D7728B" w:rsidP="00B20F0A">
          <w:pPr>
            <w:spacing w:before="120"/>
            <w:jc w:val="center"/>
            <w:rPr>
              <w:rFonts w:ascii="Arial" w:hAnsi="Arial" w:cs="Arial"/>
              <w:b/>
              <w:spacing w:val="-6"/>
            </w:rPr>
          </w:pPr>
          <w:r>
            <w:rPr>
              <w:rFonts w:ascii="Arial" w:hAnsi="Arial" w:cs="Arial"/>
              <w:b/>
              <w:spacing w:val="-6"/>
            </w:rPr>
            <w:t>EHS-100-103</w:t>
          </w:r>
        </w:p>
      </w:tc>
      <w:tc>
        <w:tcPr>
          <w:tcW w:w="2048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  <w:shd w:val="clear" w:color="auto" w:fill="F2F2F2" w:themeFill="background1" w:themeFillShade="F2"/>
        </w:tcPr>
        <w:p w:rsidR="00D808FE" w:rsidRPr="009A457C" w:rsidRDefault="00D808FE" w:rsidP="00D808FE">
          <w:pPr>
            <w:spacing w:before="120"/>
            <w:rPr>
              <w:rFonts w:ascii="Arial" w:hAnsi="Arial" w:cs="Arial"/>
              <w:b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>Rev.:</w:t>
          </w:r>
        </w:p>
        <w:p w:rsidR="00D808FE" w:rsidRPr="00B20F0A" w:rsidRDefault="00076445" w:rsidP="00F02C68">
          <w:pPr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</w:t>
          </w:r>
        </w:p>
      </w:tc>
    </w:tr>
    <w:tr w:rsidR="00E20DFD" w:rsidTr="00F02C68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F2F2F2" w:themeFill="background1" w:themeFillShade="F2"/>
        </w:tcPr>
        <w:p w:rsidR="00E20DFD" w:rsidRPr="009A457C" w:rsidRDefault="00D7728B" w:rsidP="00D7728B">
          <w:pPr>
            <w:widowControl w:val="0"/>
            <w:suppressAutoHyphens/>
            <w:spacing w:before="60" w:after="80"/>
            <w:ind w:right="-274"/>
            <w:rPr>
              <w:rFonts w:ascii="Arial" w:hAnsi="Arial" w:cs="Arial"/>
              <w:b/>
            </w:rPr>
          </w:pPr>
          <w:r w:rsidRPr="00D7728B">
            <w:rPr>
              <w:rFonts w:ascii="Arial" w:hAnsi="Arial" w:cs="Arial"/>
              <w:b/>
              <w:szCs w:val="14"/>
            </w:rPr>
            <w:t xml:space="preserve">Lean Supply Chain-Chemical Management Policy 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F2F2F2" w:themeFill="background1" w:themeFillShade="F2"/>
        </w:tcPr>
        <w:p w:rsidR="00E20DFD" w:rsidRPr="004E6111" w:rsidRDefault="00E20DFD" w:rsidP="00B20F0A">
          <w:pPr>
            <w:spacing w:before="60"/>
            <w:ind w:right="-274"/>
            <w:rPr>
              <w:rFonts w:ascii="Arial" w:hAnsi="Arial" w:cs="Arial"/>
              <w:sz w:val="14"/>
            </w:rPr>
          </w:pPr>
          <w:r w:rsidRPr="004E6111">
            <w:rPr>
              <w:rFonts w:ascii="Arial" w:hAnsi="Arial" w:cs="Arial"/>
              <w:sz w:val="14"/>
            </w:rPr>
            <w:t>Page #:</w:t>
          </w:r>
        </w:p>
        <w:p w:rsidR="00E20DFD" w:rsidRPr="004E6111" w:rsidRDefault="005B095B">
          <w:pPr>
            <w:spacing w:before="120"/>
            <w:jc w:val="center"/>
            <w:rPr>
              <w:rFonts w:ascii="Arial" w:hAnsi="Arial" w:cs="Arial"/>
              <w:b/>
              <w:sz w:val="18"/>
            </w:rPr>
          </w:pPr>
          <w:r w:rsidRPr="004E6111">
            <w:rPr>
              <w:rFonts w:ascii="Arial" w:hAnsi="Arial" w:cs="Arial"/>
              <w:b/>
            </w:rPr>
            <w:fldChar w:fldCharType="begin"/>
          </w:r>
          <w:r w:rsidR="00E20DFD" w:rsidRPr="004E6111">
            <w:rPr>
              <w:rFonts w:ascii="Arial" w:hAnsi="Arial" w:cs="Arial"/>
              <w:b/>
            </w:rPr>
            <w:instrText xml:space="preserve"> PAGE </w:instrText>
          </w:r>
          <w:r w:rsidRPr="004E6111">
            <w:rPr>
              <w:rFonts w:ascii="Arial" w:hAnsi="Arial" w:cs="Arial"/>
              <w:b/>
            </w:rPr>
            <w:fldChar w:fldCharType="separate"/>
          </w:r>
          <w:r w:rsidR="00B94B82">
            <w:rPr>
              <w:rFonts w:ascii="Arial" w:hAnsi="Arial" w:cs="Arial"/>
              <w:b/>
              <w:noProof/>
            </w:rPr>
            <w:t>1</w:t>
          </w:r>
          <w:r w:rsidRPr="004E6111">
            <w:rPr>
              <w:rFonts w:ascii="Arial" w:hAnsi="Arial" w:cs="Arial"/>
              <w:b/>
            </w:rPr>
            <w:fldChar w:fldCharType="end"/>
          </w:r>
          <w:r w:rsidR="00E20DFD" w:rsidRPr="004E6111">
            <w:rPr>
              <w:rFonts w:ascii="Arial" w:hAnsi="Arial" w:cs="Arial"/>
              <w:b/>
            </w:rPr>
            <w:t xml:space="preserve"> of </w:t>
          </w:r>
          <w:r w:rsidRPr="004E6111">
            <w:rPr>
              <w:rStyle w:val="PageNumber"/>
              <w:rFonts w:ascii="Arial" w:hAnsi="Arial" w:cs="Arial"/>
              <w:b/>
            </w:rPr>
            <w:fldChar w:fldCharType="begin"/>
          </w:r>
          <w:r w:rsidR="00E20DFD" w:rsidRPr="004E6111"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 w:rsidRPr="004E6111">
            <w:rPr>
              <w:rStyle w:val="PageNumber"/>
              <w:rFonts w:ascii="Arial" w:hAnsi="Arial" w:cs="Arial"/>
              <w:b/>
            </w:rPr>
            <w:fldChar w:fldCharType="separate"/>
          </w:r>
          <w:r w:rsidR="00B94B82">
            <w:rPr>
              <w:rStyle w:val="PageNumber"/>
              <w:rFonts w:ascii="Arial" w:hAnsi="Arial" w:cs="Arial"/>
              <w:b/>
              <w:noProof/>
            </w:rPr>
            <w:t>4</w:t>
          </w:r>
          <w:r w:rsidRPr="004E6111"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  <w:tr w:rsidR="00E20DFD" w:rsidRPr="004E6111" w:rsidTr="00F02C68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F2F2F2" w:themeFill="background1" w:themeFillShade="F2"/>
        </w:tcPr>
        <w:p w:rsidR="00E20DFD" w:rsidRPr="00B20F0A" w:rsidRDefault="00F02C68" w:rsidP="00B20F0A">
          <w:pPr>
            <w:widowControl w:val="0"/>
            <w:suppressAutoHyphens/>
            <w:spacing w:before="60"/>
            <w:ind w:right="-2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</w:rPr>
            <w:t>Policy</w:t>
          </w:r>
          <w:r w:rsidR="00E20DFD">
            <w:rPr>
              <w:rFonts w:ascii="Arial" w:hAnsi="Arial" w:cs="Arial"/>
              <w:b/>
              <w:sz w:val="14"/>
            </w:rPr>
            <w:t xml:space="preserve"> Owner(s) – list </w:t>
          </w:r>
          <w:r w:rsidR="0069715D">
            <w:rPr>
              <w:rFonts w:ascii="Arial" w:hAnsi="Arial" w:cs="Arial"/>
              <w:b/>
              <w:sz w:val="14"/>
              <w:szCs w:val="14"/>
            </w:rPr>
            <w:t>F</w:t>
          </w:r>
          <w:r w:rsidR="00E20DFD" w:rsidRPr="00B20F0A">
            <w:rPr>
              <w:rFonts w:ascii="Arial" w:hAnsi="Arial" w:cs="Arial"/>
              <w:b/>
              <w:sz w:val="14"/>
              <w:szCs w:val="14"/>
            </w:rPr>
            <w:t>unctions:</w:t>
          </w:r>
        </w:p>
        <w:p w:rsidR="00E20DFD" w:rsidRPr="009A457C" w:rsidRDefault="00F7240C" w:rsidP="00A0529E">
          <w:pPr>
            <w:widowControl w:val="0"/>
            <w:suppressAutoHyphens/>
            <w:spacing w:before="60" w:after="80"/>
            <w:ind w:left="374" w:right="-27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Global Sourcing, </w:t>
          </w:r>
          <w:r w:rsidR="00DB4885">
            <w:rPr>
              <w:rFonts w:ascii="Arial" w:hAnsi="Arial" w:cs="Arial"/>
              <w:b/>
            </w:rPr>
            <w:t>Environmental Health &amp; Safety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F2F2F2" w:themeFill="background1" w:themeFillShade="F2"/>
        </w:tcPr>
        <w:p w:rsidR="00E20DFD" w:rsidRPr="009A457C" w:rsidRDefault="00E20DFD" w:rsidP="002A081A">
          <w:pPr>
            <w:tabs>
              <w:tab w:val="left" w:pos="2146"/>
            </w:tabs>
            <w:spacing w:before="120"/>
            <w:jc w:val="center"/>
            <w:rPr>
              <w:rFonts w:ascii="Arial" w:hAnsi="Arial" w:cs="Arial"/>
              <w:b/>
            </w:rPr>
          </w:pPr>
        </w:p>
      </w:tc>
    </w:tr>
  </w:tbl>
  <w:p w:rsidR="00FB7BE2" w:rsidRPr="00CB141A" w:rsidRDefault="00FB7BE2" w:rsidP="008E72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1E0A0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A552D"/>
    <w:multiLevelType w:val="hybridMultilevel"/>
    <w:tmpl w:val="F2FC44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09D06B7"/>
    <w:multiLevelType w:val="multilevel"/>
    <w:tmpl w:val="FF3E9696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2E7E419F"/>
    <w:multiLevelType w:val="hybridMultilevel"/>
    <w:tmpl w:val="66868A16"/>
    <w:lvl w:ilvl="0" w:tplc="33DC0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5D55"/>
    <w:multiLevelType w:val="hybridMultilevel"/>
    <w:tmpl w:val="E054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147F58"/>
    <w:multiLevelType w:val="multilevel"/>
    <w:tmpl w:val="24C86A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C4216C7"/>
    <w:multiLevelType w:val="hybridMultilevel"/>
    <w:tmpl w:val="295E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43E4C"/>
    <w:multiLevelType w:val="hybridMultilevel"/>
    <w:tmpl w:val="E8E8C926"/>
    <w:lvl w:ilvl="0" w:tplc="64D002F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0"/>
    <w:lvlOverride w:ilvl="0">
      <w:startOverride w:val="3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387EAA"/>
    <w:rsid w:val="00007F0B"/>
    <w:rsid w:val="000278B4"/>
    <w:rsid w:val="00054199"/>
    <w:rsid w:val="00063D6E"/>
    <w:rsid w:val="00076445"/>
    <w:rsid w:val="00096EB3"/>
    <w:rsid w:val="000E097D"/>
    <w:rsid w:val="00116322"/>
    <w:rsid w:val="00117985"/>
    <w:rsid w:val="00120E56"/>
    <w:rsid w:val="00122212"/>
    <w:rsid w:val="0013284A"/>
    <w:rsid w:val="00134278"/>
    <w:rsid w:val="00140F07"/>
    <w:rsid w:val="001A3122"/>
    <w:rsid w:val="001A7F65"/>
    <w:rsid w:val="001B0105"/>
    <w:rsid w:val="001C19DC"/>
    <w:rsid w:val="001D59BD"/>
    <w:rsid w:val="001E502E"/>
    <w:rsid w:val="00213389"/>
    <w:rsid w:val="00242685"/>
    <w:rsid w:val="00280EE0"/>
    <w:rsid w:val="00284833"/>
    <w:rsid w:val="00285E3C"/>
    <w:rsid w:val="00296D21"/>
    <w:rsid w:val="002A081A"/>
    <w:rsid w:val="002A4EA9"/>
    <w:rsid w:val="002D754C"/>
    <w:rsid w:val="002E3BA7"/>
    <w:rsid w:val="002E3D97"/>
    <w:rsid w:val="002E6FB1"/>
    <w:rsid w:val="0034059E"/>
    <w:rsid w:val="00340A7C"/>
    <w:rsid w:val="003679BD"/>
    <w:rsid w:val="00387EAA"/>
    <w:rsid w:val="003A3ECA"/>
    <w:rsid w:val="003B6382"/>
    <w:rsid w:val="003D1221"/>
    <w:rsid w:val="003E0AEE"/>
    <w:rsid w:val="003F0DCA"/>
    <w:rsid w:val="003F35D9"/>
    <w:rsid w:val="004211DA"/>
    <w:rsid w:val="00421A54"/>
    <w:rsid w:val="00457159"/>
    <w:rsid w:val="00464783"/>
    <w:rsid w:val="004659AC"/>
    <w:rsid w:val="004678DC"/>
    <w:rsid w:val="004D1E19"/>
    <w:rsid w:val="004E2409"/>
    <w:rsid w:val="004E67EC"/>
    <w:rsid w:val="004F0A8C"/>
    <w:rsid w:val="005029F3"/>
    <w:rsid w:val="00521CB5"/>
    <w:rsid w:val="00521D04"/>
    <w:rsid w:val="00523A76"/>
    <w:rsid w:val="005345E6"/>
    <w:rsid w:val="0054280C"/>
    <w:rsid w:val="00556627"/>
    <w:rsid w:val="0056145B"/>
    <w:rsid w:val="00562F87"/>
    <w:rsid w:val="005A3FB1"/>
    <w:rsid w:val="005A7BBA"/>
    <w:rsid w:val="005B095B"/>
    <w:rsid w:val="005C2500"/>
    <w:rsid w:val="005E6760"/>
    <w:rsid w:val="005F28E4"/>
    <w:rsid w:val="006008F4"/>
    <w:rsid w:val="00615346"/>
    <w:rsid w:val="00633F94"/>
    <w:rsid w:val="00635142"/>
    <w:rsid w:val="00640CAE"/>
    <w:rsid w:val="00660110"/>
    <w:rsid w:val="00660EA6"/>
    <w:rsid w:val="00662257"/>
    <w:rsid w:val="0069388B"/>
    <w:rsid w:val="0069715D"/>
    <w:rsid w:val="006A06E4"/>
    <w:rsid w:val="006E209B"/>
    <w:rsid w:val="006E515D"/>
    <w:rsid w:val="006F762E"/>
    <w:rsid w:val="00717ECB"/>
    <w:rsid w:val="007A39E8"/>
    <w:rsid w:val="007A527C"/>
    <w:rsid w:val="007B0B96"/>
    <w:rsid w:val="007B4D8C"/>
    <w:rsid w:val="007D18AE"/>
    <w:rsid w:val="007E5D36"/>
    <w:rsid w:val="00805FC4"/>
    <w:rsid w:val="0081465A"/>
    <w:rsid w:val="00827C40"/>
    <w:rsid w:val="008314DD"/>
    <w:rsid w:val="00832AB8"/>
    <w:rsid w:val="0083553F"/>
    <w:rsid w:val="00844D6E"/>
    <w:rsid w:val="008505A7"/>
    <w:rsid w:val="00857711"/>
    <w:rsid w:val="00862D28"/>
    <w:rsid w:val="0087598D"/>
    <w:rsid w:val="00892D5D"/>
    <w:rsid w:val="008A5C45"/>
    <w:rsid w:val="008C01C1"/>
    <w:rsid w:val="008D1EB0"/>
    <w:rsid w:val="008E06DA"/>
    <w:rsid w:val="008E523D"/>
    <w:rsid w:val="008E7297"/>
    <w:rsid w:val="008F2A3D"/>
    <w:rsid w:val="00920236"/>
    <w:rsid w:val="009266E4"/>
    <w:rsid w:val="00935A1A"/>
    <w:rsid w:val="00941CF0"/>
    <w:rsid w:val="00943808"/>
    <w:rsid w:val="00957FC4"/>
    <w:rsid w:val="00960AE3"/>
    <w:rsid w:val="00966F48"/>
    <w:rsid w:val="00985302"/>
    <w:rsid w:val="009912ED"/>
    <w:rsid w:val="009A11AF"/>
    <w:rsid w:val="009A457C"/>
    <w:rsid w:val="009A5A8F"/>
    <w:rsid w:val="009E5F6B"/>
    <w:rsid w:val="00A0529E"/>
    <w:rsid w:val="00A109CE"/>
    <w:rsid w:val="00A20B3F"/>
    <w:rsid w:val="00A22621"/>
    <w:rsid w:val="00A321EB"/>
    <w:rsid w:val="00A55307"/>
    <w:rsid w:val="00A657C7"/>
    <w:rsid w:val="00AC1C9B"/>
    <w:rsid w:val="00AD20E1"/>
    <w:rsid w:val="00B01780"/>
    <w:rsid w:val="00B14978"/>
    <w:rsid w:val="00B20F0A"/>
    <w:rsid w:val="00B22874"/>
    <w:rsid w:val="00B25E3F"/>
    <w:rsid w:val="00B8111D"/>
    <w:rsid w:val="00B83B68"/>
    <w:rsid w:val="00B86750"/>
    <w:rsid w:val="00B94B82"/>
    <w:rsid w:val="00BA4501"/>
    <w:rsid w:val="00BA6583"/>
    <w:rsid w:val="00BA6AD4"/>
    <w:rsid w:val="00BC05E3"/>
    <w:rsid w:val="00BC1F22"/>
    <w:rsid w:val="00C03FC7"/>
    <w:rsid w:val="00C054D0"/>
    <w:rsid w:val="00C201CD"/>
    <w:rsid w:val="00C23D82"/>
    <w:rsid w:val="00C254E3"/>
    <w:rsid w:val="00C47C66"/>
    <w:rsid w:val="00C527DE"/>
    <w:rsid w:val="00C74099"/>
    <w:rsid w:val="00C86EDA"/>
    <w:rsid w:val="00CA0C70"/>
    <w:rsid w:val="00CB119D"/>
    <w:rsid w:val="00CB141A"/>
    <w:rsid w:val="00CB695C"/>
    <w:rsid w:val="00CC5CA0"/>
    <w:rsid w:val="00CD7685"/>
    <w:rsid w:val="00CE3BAD"/>
    <w:rsid w:val="00CE3E3F"/>
    <w:rsid w:val="00CE5F05"/>
    <w:rsid w:val="00CF4F61"/>
    <w:rsid w:val="00D43B86"/>
    <w:rsid w:val="00D504E8"/>
    <w:rsid w:val="00D60BFF"/>
    <w:rsid w:val="00D63B0C"/>
    <w:rsid w:val="00D663EF"/>
    <w:rsid w:val="00D7728B"/>
    <w:rsid w:val="00D77A65"/>
    <w:rsid w:val="00D8008E"/>
    <w:rsid w:val="00D808FE"/>
    <w:rsid w:val="00D8621B"/>
    <w:rsid w:val="00DA245B"/>
    <w:rsid w:val="00DB4885"/>
    <w:rsid w:val="00DD09F6"/>
    <w:rsid w:val="00E20DFD"/>
    <w:rsid w:val="00E22450"/>
    <w:rsid w:val="00E33A04"/>
    <w:rsid w:val="00E37FCC"/>
    <w:rsid w:val="00E6346B"/>
    <w:rsid w:val="00E65BCB"/>
    <w:rsid w:val="00E72A6B"/>
    <w:rsid w:val="00E77A2A"/>
    <w:rsid w:val="00E862AD"/>
    <w:rsid w:val="00E91152"/>
    <w:rsid w:val="00EA25B6"/>
    <w:rsid w:val="00EC34B8"/>
    <w:rsid w:val="00EC5058"/>
    <w:rsid w:val="00ED6509"/>
    <w:rsid w:val="00EE3844"/>
    <w:rsid w:val="00EE6572"/>
    <w:rsid w:val="00F02116"/>
    <w:rsid w:val="00F02C68"/>
    <w:rsid w:val="00F310E9"/>
    <w:rsid w:val="00F32B5E"/>
    <w:rsid w:val="00F406FB"/>
    <w:rsid w:val="00F6643B"/>
    <w:rsid w:val="00F7178F"/>
    <w:rsid w:val="00F7240C"/>
    <w:rsid w:val="00F73CB9"/>
    <w:rsid w:val="00F95A4C"/>
    <w:rsid w:val="00FB5436"/>
    <w:rsid w:val="00FB7359"/>
    <w:rsid w:val="00FB7BE2"/>
    <w:rsid w:val="00FD6DAB"/>
    <w:rsid w:val="00FF310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6B"/>
    <w:rPr>
      <w:sz w:val="24"/>
      <w:szCs w:val="24"/>
    </w:rPr>
  </w:style>
  <w:style w:type="paragraph" w:styleId="Heading1">
    <w:name w:val="heading 1"/>
    <w:basedOn w:val="Normal"/>
    <w:next w:val="Body1"/>
    <w:qFormat/>
    <w:rsid w:val="00E6346B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Body2"/>
    <w:qFormat/>
    <w:rsid w:val="00E6346B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E6346B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E6346B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E6346B"/>
    <w:pPr>
      <w:numPr>
        <w:ilvl w:val="4"/>
        <w:numId w:val="1"/>
      </w:numPr>
      <w:suppressAutoHyphens/>
      <w:spacing w:before="120" w:after="60"/>
      <w:outlineLvl w:val="4"/>
    </w:pPr>
    <w:rPr>
      <w:rFonts w:cs="Arial"/>
    </w:rPr>
  </w:style>
  <w:style w:type="paragraph" w:styleId="Heading6">
    <w:name w:val="heading 6"/>
    <w:basedOn w:val="Normal"/>
    <w:next w:val="Normal"/>
    <w:qFormat/>
    <w:rsid w:val="00E6346B"/>
    <w:pPr>
      <w:numPr>
        <w:ilvl w:val="5"/>
        <w:numId w:val="1"/>
      </w:numPr>
      <w:spacing w:before="120" w:after="6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rsid w:val="00E6346B"/>
    <w:pPr>
      <w:numPr>
        <w:ilvl w:val="6"/>
        <w:numId w:val="1"/>
      </w:numPr>
      <w:spacing w:before="12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E6346B"/>
    <w:pPr>
      <w:numPr>
        <w:ilvl w:val="7"/>
        <w:numId w:val="1"/>
      </w:numPr>
      <w:spacing w:before="12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E6346B"/>
    <w:pPr>
      <w:numPr>
        <w:ilvl w:val="8"/>
        <w:numId w:val="1"/>
      </w:numPr>
      <w:spacing w:before="120" w:after="60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E6346B"/>
    <w:pPr>
      <w:suppressAutoHyphens/>
    </w:pPr>
  </w:style>
  <w:style w:type="paragraph" w:styleId="Header">
    <w:name w:val="header"/>
    <w:basedOn w:val="Normal"/>
    <w:rsid w:val="00E63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46B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E6346B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E6346B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E6346B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E6346B"/>
  </w:style>
  <w:style w:type="character" w:styleId="Hyperlink">
    <w:name w:val="Hyperlink"/>
    <w:basedOn w:val="DefaultParagraphFont"/>
    <w:uiPriority w:val="99"/>
    <w:rsid w:val="00E6346B"/>
    <w:rPr>
      <w:color w:val="0000FF"/>
      <w:u w:val="single"/>
    </w:rPr>
  </w:style>
  <w:style w:type="character" w:styleId="FollowedHyperlink">
    <w:name w:val="FollowedHyperlink"/>
    <w:basedOn w:val="DefaultParagraphFont"/>
    <w:rsid w:val="00E6346B"/>
    <w:rPr>
      <w:color w:val="800080"/>
      <w:u w:val="single"/>
    </w:rPr>
  </w:style>
  <w:style w:type="paragraph" w:customStyle="1" w:styleId="Note">
    <w:name w:val="Note"/>
    <w:basedOn w:val="Normal"/>
    <w:next w:val="Normal"/>
    <w:rsid w:val="00E6346B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E6346B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E6346B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E6346B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E6346B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E6346B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E6346B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E6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46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6346B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6346B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E6346B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E6346B"/>
  </w:style>
  <w:style w:type="paragraph" w:customStyle="1" w:styleId="StyleHeading2Arial">
    <w:name w:val="Style Heading 2 + Arial"/>
    <w:basedOn w:val="Heading2"/>
    <w:rsid w:val="00E6346B"/>
    <w:rPr>
      <w:b/>
    </w:rPr>
  </w:style>
  <w:style w:type="character" w:styleId="PlaceholderText">
    <w:name w:val="Placeholder Text"/>
    <w:basedOn w:val="DefaultParagraphFont"/>
    <w:uiPriority w:val="99"/>
    <w:semiHidden/>
    <w:rsid w:val="00E6346B"/>
    <w:rPr>
      <w:color w:val="808080"/>
    </w:rPr>
  </w:style>
  <w:style w:type="paragraph" w:styleId="BodyText2">
    <w:name w:val="Body Text 2"/>
    <w:basedOn w:val="Normal"/>
    <w:link w:val="BodyText2Char"/>
    <w:rsid w:val="00E6346B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E6346B"/>
    <w:rPr>
      <w:sz w:val="24"/>
      <w:szCs w:val="24"/>
    </w:rPr>
  </w:style>
  <w:style w:type="paragraph" w:customStyle="1" w:styleId="Body4">
    <w:name w:val="Body4"/>
    <w:basedOn w:val="Normal"/>
    <w:rsid w:val="00E6346B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E6346B"/>
    <w:pPr>
      <w:ind w:left="720"/>
      <w:contextualSpacing/>
    </w:pPr>
  </w:style>
  <w:style w:type="paragraph" w:customStyle="1" w:styleId="Head1">
    <w:name w:val="Head 1"/>
    <w:basedOn w:val="Normal"/>
    <w:rsid w:val="001A7F65"/>
    <w:pPr>
      <w:ind w:left="1080" w:right="720" w:hanging="7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6B"/>
    <w:rPr>
      <w:sz w:val="24"/>
      <w:szCs w:val="24"/>
    </w:rPr>
  </w:style>
  <w:style w:type="paragraph" w:styleId="Heading1">
    <w:name w:val="heading 1"/>
    <w:basedOn w:val="Normal"/>
    <w:next w:val="Body1"/>
    <w:qFormat/>
    <w:rsid w:val="00E6346B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Body2"/>
    <w:qFormat/>
    <w:rsid w:val="00E6346B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E6346B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E6346B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E6346B"/>
    <w:pPr>
      <w:numPr>
        <w:ilvl w:val="4"/>
        <w:numId w:val="1"/>
      </w:numPr>
      <w:suppressAutoHyphens/>
      <w:spacing w:before="120" w:after="60"/>
      <w:outlineLvl w:val="4"/>
    </w:pPr>
    <w:rPr>
      <w:rFonts w:cs="Arial"/>
    </w:rPr>
  </w:style>
  <w:style w:type="paragraph" w:styleId="Heading6">
    <w:name w:val="heading 6"/>
    <w:basedOn w:val="Normal"/>
    <w:next w:val="Normal"/>
    <w:qFormat/>
    <w:rsid w:val="00E6346B"/>
    <w:pPr>
      <w:numPr>
        <w:ilvl w:val="5"/>
        <w:numId w:val="1"/>
      </w:numPr>
      <w:spacing w:before="120" w:after="6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rsid w:val="00E6346B"/>
    <w:pPr>
      <w:numPr>
        <w:ilvl w:val="6"/>
        <w:numId w:val="1"/>
      </w:numPr>
      <w:spacing w:before="12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E6346B"/>
    <w:pPr>
      <w:numPr>
        <w:ilvl w:val="7"/>
        <w:numId w:val="1"/>
      </w:numPr>
      <w:spacing w:before="12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E6346B"/>
    <w:pPr>
      <w:numPr>
        <w:ilvl w:val="8"/>
        <w:numId w:val="1"/>
      </w:numPr>
      <w:spacing w:before="120" w:after="60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E6346B"/>
    <w:pPr>
      <w:suppressAutoHyphens/>
    </w:pPr>
  </w:style>
  <w:style w:type="paragraph" w:styleId="Header">
    <w:name w:val="header"/>
    <w:basedOn w:val="Normal"/>
    <w:rsid w:val="00E63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46B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E6346B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E6346B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E6346B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E6346B"/>
  </w:style>
  <w:style w:type="character" w:styleId="Hyperlink">
    <w:name w:val="Hyperlink"/>
    <w:basedOn w:val="DefaultParagraphFont"/>
    <w:uiPriority w:val="99"/>
    <w:rsid w:val="00E6346B"/>
    <w:rPr>
      <w:color w:val="0000FF"/>
      <w:u w:val="single"/>
    </w:rPr>
  </w:style>
  <w:style w:type="character" w:styleId="FollowedHyperlink">
    <w:name w:val="FollowedHyperlink"/>
    <w:basedOn w:val="DefaultParagraphFont"/>
    <w:rsid w:val="00E6346B"/>
    <w:rPr>
      <w:color w:val="800080"/>
      <w:u w:val="single"/>
    </w:rPr>
  </w:style>
  <w:style w:type="paragraph" w:customStyle="1" w:styleId="Note">
    <w:name w:val="Note"/>
    <w:basedOn w:val="Normal"/>
    <w:next w:val="Normal"/>
    <w:rsid w:val="00E6346B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E6346B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E6346B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E6346B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E6346B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E6346B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E6346B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E6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46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6346B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6346B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E6346B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E6346B"/>
  </w:style>
  <w:style w:type="paragraph" w:customStyle="1" w:styleId="StyleHeading2Arial">
    <w:name w:val="Style Heading 2 + Arial"/>
    <w:basedOn w:val="Heading2"/>
    <w:rsid w:val="00E6346B"/>
    <w:rPr>
      <w:b/>
    </w:rPr>
  </w:style>
  <w:style w:type="character" w:styleId="PlaceholderText">
    <w:name w:val="Placeholder Text"/>
    <w:basedOn w:val="DefaultParagraphFont"/>
    <w:uiPriority w:val="99"/>
    <w:semiHidden/>
    <w:rsid w:val="00E6346B"/>
    <w:rPr>
      <w:color w:val="808080"/>
    </w:rPr>
  </w:style>
  <w:style w:type="paragraph" w:styleId="BodyText2">
    <w:name w:val="Body Text 2"/>
    <w:basedOn w:val="Normal"/>
    <w:link w:val="BodyText2Char"/>
    <w:rsid w:val="00E6346B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E6346B"/>
    <w:rPr>
      <w:sz w:val="24"/>
      <w:szCs w:val="24"/>
    </w:rPr>
  </w:style>
  <w:style w:type="paragraph" w:customStyle="1" w:styleId="Body4">
    <w:name w:val="Body4"/>
    <w:basedOn w:val="Normal"/>
    <w:rsid w:val="00E6346B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E6346B"/>
    <w:pPr>
      <w:ind w:left="720"/>
      <w:contextualSpacing/>
    </w:pPr>
  </w:style>
  <w:style w:type="paragraph" w:customStyle="1" w:styleId="Head1">
    <w:name w:val="Head 1"/>
    <w:basedOn w:val="Normal"/>
    <w:rsid w:val="001A7F65"/>
    <w:pPr>
      <w:ind w:left="1080" w:right="720" w:hanging="7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yota-global.com/company/vision_philosophy/toyota_production_syst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illiams\Templates\QMS%20Policy%20Template\QMS%20Policy%20Template_01%2022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E0A0-EDA1-456C-A78F-E511D0F3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Policy Template_01 22 14.dotx</Template>
  <TotalTime>53</TotalTime>
  <Pages>4</Pages>
  <Words>862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Williams, Paula</dc:creator>
  <cp:lastModifiedBy>Biczkowski, Evan</cp:lastModifiedBy>
  <cp:revision>10</cp:revision>
  <cp:lastPrinted>2014-02-03T17:05:00Z</cp:lastPrinted>
  <dcterms:created xsi:type="dcterms:W3CDTF">2016-02-23T20:23:00Z</dcterms:created>
  <dcterms:modified xsi:type="dcterms:W3CDTF">2016-03-03T16:32:00Z</dcterms:modified>
</cp:coreProperties>
</file>