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4"/>
          <w:szCs w:val="24"/>
          <w:lang w:eastAsia="en-US"/>
        </w:rPr>
        <w:id w:val="-173900974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p w14:paraId="5EFBB52E" w14:textId="77777777" w:rsidR="003679BD" w:rsidRPr="008D1EB0" w:rsidRDefault="003679BD" w:rsidP="000E097D">
          <w:pPr>
            <w:pStyle w:val="TOCHeading"/>
            <w:rPr>
              <w:rFonts w:ascii="Arial" w:hAnsi="Arial" w:cs="Arial"/>
            </w:rPr>
          </w:pPr>
          <w:r w:rsidRPr="008D1EB0">
            <w:rPr>
              <w:rFonts w:ascii="Arial" w:hAnsi="Arial" w:cs="Arial"/>
            </w:rPr>
            <w:t>Contents</w:t>
          </w:r>
        </w:p>
        <w:p w14:paraId="0DAD0D51" w14:textId="1492AF63" w:rsidR="00C21B14" w:rsidRDefault="008A66A9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r w:rsidRPr="00B25E3F">
            <w:rPr>
              <w:rFonts w:ascii="Times New Roman" w:hAnsi="Times New Roman"/>
            </w:rPr>
            <w:fldChar w:fldCharType="begin"/>
          </w:r>
          <w:r w:rsidR="00E91152" w:rsidRPr="00B25E3F">
            <w:instrText xml:space="preserve"> TOC \o "1-1" \h \z \u </w:instrText>
          </w:r>
          <w:r w:rsidRPr="00B25E3F">
            <w:rPr>
              <w:rFonts w:ascii="Times New Roman" w:hAnsi="Times New Roman"/>
            </w:rPr>
            <w:fldChar w:fldCharType="separate"/>
          </w:r>
          <w:hyperlink w:anchor="_Toc81206393" w:history="1">
            <w:r w:rsidR="00C21B14" w:rsidRPr="00E15821">
              <w:rPr>
                <w:rStyle w:val="Hyperlink"/>
                <w:bCs/>
                <w:iCs/>
                <w:noProof/>
              </w:rPr>
              <w:t>1</w:t>
            </w:r>
            <w:r w:rsidR="00C21B14">
              <w:rPr>
                <w:rFonts w:eastAsiaTheme="minorEastAsia"/>
                <w:noProof/>
              </w:rPr>
              <w:tab/>
            </w:r>
            <w:r w:rsidR="00C21B14" w:rsidRPr="00E15821">
              <w:rPr>
                <w:rStyle w:val="Hyperlink"/>
                <w:noProof/>
              </w:rPr>
              <w:t>Purpose</w:t>
            </w:r>
            <w:r w:rsidR="00C21B14">
              <w:rPr>
                <w:noProof/>
                <w:webHidden/>
              </w:rPr>
              <w:tab/>
            </w:r>
            <w:r w:rsidR="00C21B14">
              <w:rPr>
                <w:noProof/>
                <w:webHidden/>
              </w:rPr>
              <w:fldChar w:fldCharType="begin"/>
            </w:r>
            <w:r w:rsidR="00C21B14">
              <w:rPr>
                <w:noProof/>
                <w:webHidden/>
              </w:rPr>
              <w:instrText xml:space="preserve"> PAGEREF _Toc81206393 \h </w:instrText>
            </w:r>
            <w:r w:rsidR="00C21B14">
              <w:rPr>
                <w:noProof/>
                <w:webHidden/>
              </w:rPr>
            </w:r>
            <w:r w:rsidR="00C21B14">
              <w:rPr>
                <w:noProof/>
                <w:webHidden/>
              </w:rPr>
              <w:fldChar w:fldCharType="separate"/>
            </w:r>
            <w:r w:rsidR="00C21B14">
              <w:rPr>
                <w:noProof/>
                <w:webHidden/>
              </w:rPr>
              <w:t>1</w:t>
            </w:r>
            <w:r w:rsidR="00C21B14">
              <w:rPr>
                <w:noProof/>
                <w:webHidden/>
              </w:rPr>
              <w:fldChar w:fldCharType="end"/>
            </w:r>
          </w:hyperlink>
        </w:p>
        <w:p w14:paraId="42E48C9B" w14:textId="62D62656" w:rsidR="00C21B14" w:rsidRDefault="00147AE3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81206394" w:history="1">
            <w:r w:rsidR="00C21B14" w:rsidRPr="00E15821">
              <w:rPr>
                <w:rStyle w:val="Hyperlink"/>
                <w:bCs/>
                <w:iCs/>
                <w:noProof/>
              </w:rPr>
              <w:t>2</w:t>
            </w:r>
            <w:r w:rsidR="00C21B14">
              <w:rPr>
                <w:rFonts w:eastAsiaTheme="minorEastAsia"/>
                <w:noProof/>
              </w:rPr>
              <w:tab/>
            </w:r>
            <w:r w:rsidR="00C21B14" w:rsidRPr="00E15821">
              <w:rPr>
                <w:rStyle w:val="Hyperlink"/>
                <w:noProof/>
              </w:rPr>
              <w:t>Scope – applies to where &amp; when the Procedure is used</w:t>
            </w:r>
            <w:r w:rsidR="00C21B14">
              <w:rPr>
                <w:noProof/>
                <w:webHidden/>
              </w:rPr>
              <w:tab/>
            </w:r>
            <w:r w:rsidR="00C21B14">
              <w:rPr>
                <w:noProof/>
                <w:webHidden/>
              </w:rPr>
              <w:fldChar w:fldCharType="begin"/>
            </w:r>
            <w:r w:rsidR="00C21B14">
              <w:rPr>
                <w:noProof/>
                <w:webHidden/>
              </w:rPr>
              <w:instrText xml:space="preserve"> PAGEREF _Toc81206394 \h </w:instrText>
            </w:r>
            <w:r w:rsidR="00C21B14">
              <w:rPr>
                <w:noProof/>
                <w:webHidden/>
              </w:rPr>
            </w:r>
            <w:r w:rsidR="00C21B14">
              <w:rPr>
                <w:noProof/>
                <w:webHidden/>
              </w:rPr>
              <w:fldChar w:fldCharType="separate"/>
            </w:r>
            <w:r w:rsidR="00C21B14">
              <w:rPr>
                <w:noProof/>
                <w:webHidden/>
              </w:rPr>
              <w:t>1</w:t>
            </w:r>
            <w:r w:rsidR="00C21B14">
              <w:rPr>
                <w:noProof/>
                <w:webHidden/>
              </w:rPr>
              <w:fldChar w:fldCharType="end"/>
            </w:r>
          </w:hyperlink>
        </w:p>
        <w:p w14:paraId="54F2E847" w14:textId="071A316E" w:rsidR="00C21B14" w:rsidRDefault="00147AE3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81206395" w:history="1">
            <w:r w:rsidR="00C21B14" w:rsidRPr="00E15821">
              <w:rPr>
                <w:rStyle w:val="Hyperlink"/>
                <w:bCs/>
                <w:iCs/>
                <w:noProof/>
              </w:rPr>
              <w:t>3</w:t>
            </w:r>
            <w:r w:rsidR="00C21B14">
              <w:rPr>
                <w:rFonts w:eastAsiaTheme="minorEastAsia"/>
                <w:noProof/>
              </w:rPr>
              <w:tab/>
            </w:r>
            <w:r w:rsidR="00C21B14" w:rsidRPr="00E15821">
              <w:rPr>
                <w:rStyle w:val="Hyperlink"/>
                <w:noProof/>
              </w:rPr>
              <w:t>Definitions and Acronyms</w:t>
            </w:r>
            <w:r w:rsidR="00C21B14">
              <w:rPr>
                <w:noProof/>
                <w:webHidden/>
              </w:rPr>
              <w:tab/>
            </w:r>
            <w:r w:rsidR="00C21B14">
              <w:rPr>
                <w:noProof/>
                <w:webHidden/>
              </w:rPr>
              <w:fldChar w:fldCharType="begin"/>
            </w:r>
            <w:r w:rsidR="00C21B14">
              <w:rPr>
                <w:noProof/>
                <w:webHidden/>
              </w:rPr>
              <w:instrText xml:space="preserve"> PAGEREF _Toc81206395 \h </w:instrText>
            </w:r>
            <w:r w:rsidR="00C21B14">
              <w:rPr>
                <w:noProof/>
                <w:webHidden/>
              </w:rPr>
            </w:r>
            <w:r w:rsidR="00C21B14">
              <w:rPr>
                <w:noProof/>
                <w:webHidden/>
              </w:rPr>
              <w:fldChar w:fldCharType="separate"/>
            </w:r>
            <w:r w:rsidR="00C21B14">
              <w:rPr>
                <w:noProof/>
                <w:webHidden/>
              </w:rPr>
              <w:t>1</w:t>
            </w:r>
            <w:r w:rsidR="00C21B14">
              <w:rPr>
                <w:noProof/>
                <w:webHidden/>
              </w:rPr>
              <w:fldChar w:fldCharType="end"/>
            </w:r>
          </w:hyperlink>
        </w:p>
        <w:p w14:paraId="05C5E10F" w14:textId="36C6FBFF" w:rsidR="00C21B14" w:rsidRDefault="00147AE3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81206396" w:history="1">
            <w:r w:rsidR="00C21B14" w:rsidRPr="00E15821">
              <w:rPr>
                <w:rStyle w:val="Hyperlink"/>
                <w:bCs/>
                <w:iCs/>
                <w:noProof/>
              </w:rPr>
              <w:t>4</w:t>
            </w:r>
            <w:r w:rsidR="00C21B14">
              <w:rPr>
                <w:rFonts w:eastAsiaTheme="minorEastAsia"/>
                <w:noProof/>
              </w:rPr>
              <w:tab/>
            </w:r>
            <w:r w:rsidR="00C21B14" w:rsidRPr="00E15821">
              <w:rPr>
                <w:rStyle w:val="Hyperlink"/>
                <w:noProof/>
              </w:rPr>
              <w:t>Graphic</w:t>
            </w:r>
            <w:r w:rsidR="00C21B14">
              <w:rPr>
                <w:noProof/>
                <w:webHidden/>
              </w:rPr>
              <w:tab/>
            </w:r>
            <w:r w:rsidR="00C21B14">
              <w:rPr>
                <w:noProof/>
                <w:webHidden/>
              </w:rPr>
              <w:fldChar w:fldCharType="begin"/>
            </w:r>
            <w:r w:rsidR="00C21B14">
              <w:rPr>
                <w:noProof/>
                <w:webHidden/>
              </w:rPr>
              <w:instrText xml:space="preserve"> PAGEREF _Toc81206396 \h </w:instrText>
            </w:r>
            <w:r w:rsidR="00C21B14">
              <w:rPr>
                <w:noProof/>
                <w:webHidden/>
              </w:rPr>
            </w:r>
            <w:r w:rsidR="00C21B14">
              <w:rPr>
                <w:noProof/>
                <w:webHidden/>
              </w:rPr>
              <w:fldChar w:fldCharType="separate"/>
            </w:r>
            <w:r w:rsidR="00C21B14">
              <w:rPr>
                <w:noProof/>
                <w:webHidden/>
              </w:rPr>
              <w:t>2</w:t>
            </w:r>
            <w:r w:rsidR="00C21B14">
              <w:rPr>
                <w:noProof/>
                <w:webHidden/>
              </w:rPr>
              <w:fldChar w:fldCharType="end"/>
            </w:r>
          </w:hyperlink>
        </w:p>
        <w:p w14:paraId="1357BA31" w14:textId="44162AD7" w:rsidR="00C21B14" w:rsidRDefault="00147AE3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81206397" w:history="1">
            <w:r w:rsidR="00C21B14" w:rsidRPr="00E15821">
              <w:rPr>
                <w:rStyle w:val="Hyperlink"/>
                <w:bCs/>
                <w:iCs/>
                <w:noProof/>
              </w:rPr>
              <w:t>5</w:t>
            </w:r>
            <w:r w:rsidR="00C21B14">
              <w:rPr>
                <w:rFonts w:eastAsiaTheme="minorEastAsia"/>
                <w:noProof/>
              </w:rPr>
              <w:tab/>
            </w:r>
            <w:r w:rsidR="00C21B14" w:rsidRPr="00E15821">
              <w:rPr>
                <w:rStyle w:val="Hyperlink"/>
                <w:noProof/>
              </w:rPr>
              <w:t>Responsibilities</w:t>
            </w:r>
            <w:r w:rsidR="00C21B14">
              <w:rPr>
                <w:noProof/>
                <w:webHidden/>
              </w:rPr>
              <w:tab/>
            </w:r>
            <w:r w:rsidR="00C21B14">
              <w:rPr>
                <w:noProof/>
                <w:webHidden/>
              </w:rPr>
              <w:fldChar w:fldCharType="begin"/>
            </w:r>
            <w:r w:rsidR="00C21B14">
              <w:rPr>
                <w:noProof/>
                <w:webHidden/>
              </w:rPr>
              <w:instrText xml:space="preserve"> PAGEREF _Toc81206397 \h </w:instrText>
            </w:r>
            <w:r w:rsidR="00C21B14">
              <w:rPr>
                <w:noProof/>
                <w:webHidden/>
              </w:rPr>
            </w:r>
            <w:r w:rsidR="00C21B14">
              <w:rPr>
                <w:noProof/>
                <w:webHidden/>
              </w:rPr>
              <w:fldChar w:fldCharType="separate"/>
            </w:r>
            <w:r w:rsidR="00C21B14">
              <w:rPr>
                <w:noProof/>
                <w:webHidden/>
              </w:rPr>
              <w:t>3</w:t>
            </w:r>
            <w:r w:rsidR="00C21B14">
              <w:rPr>
                <w:noProof/>
                <w:webHidden/>
              </w:rPr>
              <w:fldChar w:fldCharType="end"/>
            </w:r>
          </w:hyperlink>
        </w:p>
        <w:p w14:paraId="278EB70E" w14:textId="3833A698" w:rsidR="00C21B14" w:rsidRDefault="00147AE3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81206398" w:history="1">
            <w:r w:rsidR="00C21B14" w:rsidRPr="00E15821">
              <w:rPr>
                <w:rStyle w:val="Hyperlink"/>
                <w:bCs/>
                <w:iCs/>
                <w:noProof/>
              </w:rPr>
              <w:t>6</w:t>
            </w:r>
            <w:r w:rsidR="00C21B14">
              <w:rPr>
                <w:rFonts w:eastAsiaTheme="minorEastAsia"/>
                <w:noProof/>
              </w:rPr>
              <w:tab/>
            </w:r>
            <w:r w:rsidR="00C21B14" w:rsidRPr="00E15821">
              <w:rPr>
                <w:rStyle w:val="Hyperlink"/>
                <w:noProof/>
              </w:rPr>
              <w:t>Procedure</w:t>
            </w:r>
            <w:r w:rsidR="00C21B14">
              <w:rPr>
                <w:noProof/>
                <w:webHidden/>
              </w:rPr>
              <w:tab/>
            </w:r>
            <w:r w:rsidR="00C21B14">
              <w:rPr>
                <w:noProof/>
                <w:webHidden/>
              </w:rPr>
              <w:fldChar w:fldCharType="begin"/>
            </w:r>
            <w:r w:rsidR="00C21B14">
              <w:rPr>
                <w:noProof/>
                <w:webHidden/>
              </w:rPr>
              <w:instrText xml:space="preserve"> PAGEREF _Toc81206398 \h </w:instrText>
            </w:r>
            <w:r w:rsidR="00C21B14">
              <w:rPr>
                <w:noProof/>
                <w:webHidden/>
              </w:rPr>
            </w:r>
            <w:r w:rsidR="00C21B14">
              <w:rPr>
                <w:noProof/>
                <w:webHidden/>
              </w:rPr>
              <w:fldChar w:fldCharType="separate"/>
            </w:r>
            <w:r w:rsidR="00C21B14">
              <w:rPr>
                <w:noProof/>
                <w:webHidden/>
              </w:rPr>
              <w:t>4</w:t>
            </w:r>
            <w:r w:rsidR="00C21B14">
              <w:rPr>
                <w:noProof/>
                <w:webHidden/>
              </w:rPr>
              <w:fldChar w:fldCharType="end"/>
            </w:r>
          </w:hyperlink>
        </w:p>
        <w:p w14:paraId="291151FA" w14:textId="3ED75DCF" w:rsidR="00C21B14" w:rsidRDefault="00147AE3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81206399" w:history="1">
            <w:r w:rsidR="00C21B14" w:rsidRPr="00E15821">
              <w:rPr>
                <w:rStyle w:val="Hyperlink"/>
                <w:bCs/>
                <w:iCs/>
                <w:noProof/>
              </w:rPr>
              <w:t>7</w:t>
            </w:r>
            <w:r w:rsidR="00C21B14">
              <w:rPr>
                <w:rFonts w:eastAsiaTheme="minorEastAsia"/>
                <w:noProof/>
              </w:rPr>
              <w:tab/>
            </w:r>
            <w:r w:rsidR="00C21B14" w:rsidRPr="00E15821">
              <w:rPr>
                <w:rStyle w:val="Hyperlink"/>
                <w:noProof/>
              </w:rPr>
              <w:t xml:space="preserve">Associated Quality Records – </w:t>
            </w:r>
            <w:r w:rsidR="00C21B14" w:rsidRPr="00E15821">
              <w:rPr>
                <w:rStyle w:val="Hyperlink"/>
                <w:noProof/>
                <w:spacing w:val="-10"/>
              </w:rPr>
              <w:t>as stated in the Quality Records List</w:t>
            </w:r>
            <w:r w:rsidR="00C21B14">
              <w:rPr>
                <w:noProof/>
                <w:webHidden/>
              </w:rPr>
              <w:tab/>
            </w:r>
            <w:r w:rsidR="00C21B14">
              <w:rPr>
                <w:noProof/>
                <w:webHidden/>
              </w:rPr>
              <w:fldChar w:fldCharType="begin"/>
            </w:r>
            <w:r w:rsidR="00C21B14">
              <w:rPr>
                <w:noProof/>
                <w:webHidden/>
              </w:rPr>
              <w:instrText xml:space="preserve"> PAGEREF _Toc81206399 \h </w:instrText>
            </w:r>
            <w:r w:rsidR="00C21B14">
              <w:rPr>
                <w:noProof/>
                <w:webHidden/>
              </w:rPr>
            </w:r>
            <w:r w:rsidR="00C21B14">
              <w:rPr>
                <w:noProof/>
                <w:webHidden/>
              </w:rPr>
              <w:fldChar w:fldCharType="separate"/>
            </w:r>
            <w:r w:rsidR="00C21B14">
              <w:rPr>
                <w:noProof/>
                <w:webHidden/>
              </w:rPr>
              <w:t>6</w:t>
            </w:r>
            <w:r w:rsidR="00C21B14">
              <w:rPr>
                <w:noProof/>
                <w:webHidden/>
              </w:rPr>
              <w:fldChar w:fldCharType="end"/>
            </w:r>
          </w:hyperlink>
        </w:p>
        <w:p w14:paraId="1882BF03" w14:textId="1C27F29E" w:rsidR="00C21B14" w:rsidRDefault="00147AE3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81206400" w:history="1">
            <w:r w:rsidR="00C21B14" w:rsidRPr="00E15821">
              <w:rPr>
                <w:rStyle w:val="Hyperlink"/>
                <w:bCs/>
                <w:iCs/>
                <w:noProof/>
              </w:rPr>
              <w:t>8</w:t>
            </w:r>
            <w:r w:rsidR="00C21B14">
              <w:rPr>
                <w:rFonts w:eastAsiaTheme="minorEastAsia"/>
                <w:noProof/>
              </w:rPr>
              <w:tab/>
            </w:r>
            <w:r w:rsidR="00C21B14" w:rsidRPr="00E15821">
              <w:rPr>
                <w:rStyle w:val="Hyperlink"/>
                <w:noProof/>
              </w:rPr>
              <w:t>Reference Forms / Templates / Documents</w:t>
            </w:r>
            <w:r w:rsidR="00C21B14">
              <w:rPr>
                <w:noProof/>
                <w:webHidden/>
              </w:rPr>
              <w:tab/>
            </w:r>
            <w:r w:rsidR="00C21B14">
              <w:rPr>
                <w:noProof/>
                <w:webHidden/>
              </w:rPr>
              <w:fldChar w:fldCharType="begin"/>
            </w:r>
            <w:r w:rsidR="00C21B14">
              <w:rPr>
                <w:noProof/>
                <w:webHidden/>
              </w:rPr>
              <w:instrText xml:space="preserve"> PAGEREF _Toc81206400 \h </w:instrText>
            </w:r>
            <w:r w:rsidR="00C21B14">
              <w:rPr>
                <w:noProof/>
                <w:webHidden/>
              </w:rPr>
            </w:r>
            <w:r w:rsidR="00C21B14">
              <w:rPr>
                <w:noProof/>
                <w:webHidden/>
              </w:rPr>
              <w:fldChar w:fldCharType="separate"/>
            </w:r>
            <w:r w:rsidR="00C21B14">
              <w:rPr>
                <w:noProof/>
                <w:webHidden/>
              </w:rPr>
              <w:t>6</w:t>
            </w:r>
            <w:r w:rsidR="00C21B14">
              <w:rPr>
                <w:noProof/>
                <w:webHidden/>
              </w:rPr>
              <w:fldChar w:fldCharType="end"/>
            </w:r>
          </w:hyperlink>
        </w:p>
        <w:p w14:paraId="6AE68BBC" w14:textId="072E6431" w:rsidR="00C21B14" w:rsidRDefault="00147AE3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81206401" w:history="1">
            <w:r w:rsidR="00C21B14" w:rsidRPr="00E15821">
              <w:rPr>
                <w:rStyle w:val="Hyperlink"/>
                <w:bCs/>
                <w:iCs/>
                <w:noProof/>
              </w:rPr>
              <w:t>9</w:t>
            </w:r>
            <w:r w:rsidR="00C21B14">
              <w:rPr>
                <w:rFonts w:eastAsiaTheme="minorEastAsia"/>
                <w:noProof/>
              </w:rPr>
              <w:tab/>
            </w:r>
            <w:r w:rsidR="00C21B14" w:rsidRPr="00E15821">
              <w:rPr>
                <w:rStyle w:val="Hyperlink"/>
                <w:noProof/>
              </w:rPr>
              <w:t>Current Revision’s Training Requirements</w:t>
            </w:r>
            <w:r w:rsidR="00C21B14">
              <w:rPr>
                <w:noProof/>
                <w:webHidden/>
              </w:rPr>
              <w:tab/>
            </w:r>
            <w:r w:rsidR="00C21B14">
              <w:rPr>
                <w:noProof/>
                <w:webHidden/>
              </w:rPr>
              <w:fldChar w:fldCharType="begin"/>
            </w:r>
            <w:r w:rsidR="00C21B14">
              <w:rPr>
                <w:noProof/>
                <w:webHidden/>
              </w:rPr>
              <w:instrText xml:space="preserve"> PAGEREF _Toc81206401 \h </w:instrText>
            </w:r>
            <w:r w:rsidR="00C21B14">
              <w:rPr>
                <w:noProof/>
                <w:webHidden/>
              </w:rPr>
            </w:r>
            <w:r w:rsidR="00C21B14">
              <w:rPr>
                <w:noProof/>
                <w:webHidden/>
              </w:rPr>
              <w:fldChar w:fldCharType="separate"/>
            </w:r>
            <w:r w:rsidR="00C21B14">
              <w:rPr>
                <w:noProof/>
                <w:webHidden/>
              </w:rPr>
              <w:t>7</w:t>
            </w:r>
            <w:r w:rsidR="00C21B14">
              <w:rPr>
                <w:noProof/>
                <w:webHidden/>
              </w:rPr>
              <w:fldChar w:fldCharType="end"/>
            </w:r>
          </w:hyperlink>
        </w:p>
        <w:p w14:paraId="298BAD99" w14:textId="2E263F23" w:rsidR="00C21B14" w:rsidRDefault="00147AE3">
          <w:pPr>
            <w:pStyle w:val="TOC1"/>
            <w:tabs>
              <w:tab w:val="left" w:pos="660"/>
              <w:tab w:val="right" w:leader="dot" w:pos="10070"/>
            </w:tabs>
            <w:rPr>
              <w:rFonts w:eastAsiaTheme="minorEastAsia"/>
              <w:noProof/>
            </w:rPr>
          </w:pPr>
          <w:hyperlink w:anchor="_Toc81206402" w:history="1">
            <w:r w:rsidR="00C21B14" w:rsidRPr="00E15821">
              <w:rPr>
                <w:rStyle w:val="Hyperlink"/>
                <w:bCs/>
                <w:iCs/>
                <w:noProof/>
              </w:rPr>
              <w:t>10</w:t>
            </w:r>
            <w:r w:rsidR="00DF66C9">
              <w:rPr>
                <w:rFonts w:eastAsiaTheme="minorEastAsia"/>
                <w:noProof/>
              </w:rPr>
              <w:tab/>
            </w:r>
            <w:r w:rsidR="00C21B14" w:rsidRPr="00E15821">
              <w:rPr>
                <w:rStyle w:val="Hyperlink"/>
                <w:noProof/>
              </w:rPr>
              <w:t>Revision History &amp; Approval</w:t>
            </w:r>
            <w:r w:rsidR="00C21B14">
              <w:rPr>
                <w:noProof/>
                <w:webHidden/>
              </w:rPr>
              <w:tab/>
            </w:r>
            <w:r w:rsidR="00C21B14">
              <w:rPr>
                <w:noProof/>
                <w:webHidden/>
              </w:rPr>
              <w:fldChar w:fldCharType="begin"/>
            </w:r>
            <w:r w:rsidR="00C21B14">
              <w:rPr>
                <w:noProof/>
                <w:webHidden/>
              </w:rPr>
              <w:instrText xml:space="preserve"> PAGEREF _Toc81206402 \h </w:instrText>
            </w:r>
            <w:r w:rsidR="00C21B14">
              <w:rPr>
                <w:noProof/>
                <w:webHidden/>
              </w:rPr>
            </w:r>
            <w:r w:rsidR="00C21B14">
              <w:rPr>
                <w:noProof/>
                <w:webHidden/>
              </w:rPr>
              <w:fldChar w:fldCharType="separate"/>
            </w:r>
            <w:r w:rsidR="00C21B14">
              <w:rPr>
                <w:noProof/>
                <w:webHidden/>
              </w:rPr>
              <w:t>8</w:t>
            </w:r>
            <w:r w:rsidR="00C21B14">
              <w:rPr>
                <w:noProof/>
                <w:webHidden/>
              </w:rPr>
              <w:fldChar w:fldCharType="end"/>
            </w:r>
          </w:hyperlink>
        </w:p>
        <w:p w14:paraId="198E1FBA" w14:textId="6E8F9BA0" w:rsidR="003679BD" w:rsidRPr="00B25E3F" w:rsidRDefault="008A66A9">
          <w:r w:rsidRPr="00B25E3F">
            <w:fldChar w:fldCharType="end"/>
          </w:r>
        </w:p>
      </w:sdtContent>
    </w:sdt>
    <w:p w14:paraId="7C63F177" w14:textId="77777777" w:rsidR="00E20DFD" w:rsidRPr="000E097D" w:rsidRDefault="00E20DFD" w:rsidP="000E097D">
      <w:pPr>
        <w:pStyle w:val="Heading1"/>
      </w:pPr>
      <w:bookmarkStart w:id="0" w:name="_Toc346632899"/>
      <w:bookmarkStart w:id="1" w:name="_Toc81206393"/>
      <w:r w:rsidRPr="000E097D">
        <w:t>Purpose</w:t>
      </w:r>
      <w:bookmarkEnd w:id="0"/>
      <w:bookmarkEnd w:id="1"/>
    </w:p>
    <w:p w14:paraId="21336CB3" w14:textId="2E8312DF" w:rsidR="008A3DBB" w:rsidRPr="000A4D13" w:rsidRDefault="000F7035" w:rsidP="008A3DBB">
      <w:pPr>
        <w:pStyle w:val="Heading2"/>
      </w:pPr>
      <w:bookmarkStart w:id="2" w:name="_Toc346632900"/>
      <w:bookmarkStart w:id="3" w:name="_Toc346632901"/>
      <w:r w:rsidRPr="000A4D13">
        <w:t xml:space="preserve">Define the criteria and guidelines for </w:t>
      </w:r>
      <w:r w:rsidR="00B35375">
        <w:t>converting</w:t>
      </w:r>
      <w:r w:rsidR="007D0E77" w:rsidRPr="000A4D13">
        <w:t xml:space="preserve"> </w:t>
      </w:r>
      <w:r w:rsidR="00780B4F" w:rsidRPr="000A4D13">
        <w:t>engineering drawings from an obsolete</w:t>
      </w:r>
      <w:r w:rsidR="005C364E">
        <w:t xml:space="preserve"> drawing</w:t>
      </w:r>
      <w:r w:rsidR="00780B4F" w:rsidRPr="000A4D13">
        <w:t xml:space="preserve"> format to a current format.</w:t>
      </w:r>
    </w:p>
    <w:bookmarkEnd w:id="2"/>
    <w:p w14:paraId="4CDDDC47" w14:textId="77777777" w:rsidR="007C4BB5" w:rsidRPr="00421A54" w:rsidRDefault="007C4BB5" w:rsidP="007C4BB5">
      <w:pPr>
        <w:spacing w:before="160" w:after="120" w:line="276" w:lineRule="auto"/>
        <w:ind w:left="720"/>
      </w:pPr>
    </w:p>
    <w:p w14:paraId="7658740B" w14:textId="77777777" w:rsidR="00EE6572" w:rsidRPr="00556627" w:rsidRDefault="00EE6572" w:rsidP="00EE6572">
      <w:pPr>
        <w:pStyle w:val="Heading1"/>
      </w:pPr>
      <w:bookmarkStart w:id="4" w:name="_Toc81206394"/>
      <w:r w:rsidRPr="00556627">
        <w:t xml:space="preserve">Scope – </w:t>
      </w:r>
      <w:r w:rsidRPr="00E72A6B">
        <w:t xml:space="preserve">applies to where &amp; when the </w:t>
      </w:r>
      <w:r w:rsidR="00A326FC">
        <w:t>Procedure</w:t>
      </w:r>
      <w:r w:rsidRPr="00E72A6B">
        <w:t xml:space="preserve"> is used</w:t>
      </w:r>
      <w:bookmarkEnd w:id="3"/>
      <w:bookmarkEnd w:id="4"/>
    </w:p>
    <w:p w14:paraId="607BABB0" w14:textId="47678B4E" w:rsidR="003B625F" w:rsidRDefault="003B625F" w:rsidP="008A3DBB">
      <w:pPr>
        <w:pStyle w:val="Heading2"/>
      </w:pPr>
      <w:r>
        <w:t>MTS-Eden Prairie</w:t>
      </w:r>
    </w:p>
    <w:p w14:paraId="3A68CB8C" w14:textId="13EE65B7" w:rsidR="008A3DBB" w:rsidRPr="00B34A5F" w:rsidRDefault="000F7035" w:rsidP="008A3DBB">
      <w:pPr>
        <w:pStyle w:val="Heading2"/>
      </w:pPr>
      <w:r>
        <w:t xml:space="preserve">This procedure applies to engineering drawings </w:t>
      </w:r>
      <w:r w:rsidR="00780B4F">
        <w:t>which</w:t>
      </w:r>
      <w:r w:rsidR="00454572">
        <w:t xml:space="preserve"> </w:t>
      </w:r>
      <w:r w:rsidR="00A558B4">
        <w:t>currently exist</w:t>
      </w:r>
      <w:r w:rsidR="00780B4F">
        <w:t xml:space="preserve"> only</w:t>
      </w:r>
      <w:r w:rsidR="00A558B4">
        <w:t xml:space="preserve"> in an obsolete </w:t>
      </w:r>
      <w:r w:rsidR="003B625F">
        <w:t>file</w:t>
      </w:r>
      <w:r w:rsidR="00454572">
        <w:t xml:space="preserve"> </w:t>
      </w:r>
      <w:r w:rsidR="00A558B4">
        <w:t xml:space="preserve">format.  This </w:t>
      </w:r>
      <w:proofErr w:type="gramStart"/>
      <w:r w:rsidR="00A558B4">
        <w:t>includes</w:t>
      </w:r>
      <w:r w:rsidR="003B625F">
        <w:t>, but</w:t>
      </w:r>
      <w:proofErr w:type="gramEnd"/>
      <w:r w:rsidR="003B625F">
        <w:t xml:space="preserve"> is not limited to</w:t>
      </w:r>
      <w:r w:rsidR="00412015">
        <w:t>:</w:t>
      </w:r>
      <w:r w:rsidR="00A558B4">
        <w:t xml:space="preserve"> hand-drawn</w:t>
      </w:r>
      <w:r w:rsidR="005C364E">
        <w:t>/scan</w:t>
      </w:r>
      <w:r w:rsidR="00A558B4">
        <w:t xml:space="preserve">, </w:t>
      </w:r>
      <w:proofErr w:type="spellStart"/>
      <w:r w:rsidR="00A558B4">
        <w:t>Microstation</w:t>
      </w:r>
      <w:proofErr w:type="spellEnd"/>
      <w:r w:rsidR="00A558B4">
        <w:t xml:space="preserve"> and SDRC I-DEAS files.  This procedure does not </w:t>
      </w:r>
      <w:r w:rsidR="003B625F">
        <w:t>a</w:t>
      </w:r>
      <w:r w:rsidR="00A558B4">
        <w:t>pply to</w:t>
      </w:r>
      <w:r w:rsidR="003B625F">
        <w:t xml:space="preserve"> file formats </w:t>
      </w:r>
      <w:r w:rsidR="00DF66C9">
        <w:t>which</w:t>
      </w:r>
      <w:r w:rsidR="003B625F">
        <w:t xml:space="preserve"> are supported with current software</w:t>
      </w:r>
      <w:r w:rsidR="00A558B4">
        <w:t>.</w:t>
      </w:r>
    </w:p>
    <w:p w14:paraId="615595F2" w14:textId="77777777" w:rsidR="00EE6572" w:rsidRPr="00421A54" w:rsidRDefault="00EE6572" w:rsidP="00EE6572">
      <w:pPr>
        <w:spacing w:before="160" w:after="120" w:line="276" w:lineRule="auto"/>
        <w:ind w:left="720"/>
      </w:pPr>
    </w:p>
    <w:p w14:paraId="2B6647D2" w14:textId="77777777" w:rsidR="00EE6572" w:rsidRPr="00556627" w:rsidRDefault="00EE6572" w:rsidP="00EE6572">
      <w:pPr>
        <w:pStyle w:val="Heading1"/>
      </w:pPr>
      <w:bookmarkStart w:id="5" w:name="_Toc346632903"/>
      <w:bookmarkStart w:id="6" w:name="_Toc81206395"/>
      <w:r w:rsidRPr="00556627">
        <w:t>Definitions and Acronyms</w:t>
      </w:r>
      <w:bookmarkEnd w:id="5"/>
      <w:bookmarkEnd w:id="6"/>
    </w:p>
    <w:p w14:paraId="061BE811" w14:textId="77777777" w:rsidR="00412015" w:rsidRDefault="00412015" w:rsidP="008A3DBB">
      <w:pPr>
        <w:pStyle w:val="Heading2"/>
      </w:pPr>
      <w:r w:rsidRPr="00412015">
        <w:rPr>
          <w:b/>
          <w:bCs/>
        </w:rPr>
        <w:t>ECM</w:t>
      </w:r>
      <w:r>
        <w:t xml:space="preserve"> – Engineering Change Management</w:t>
      </w:r>
    </w:p>
    <w:p w14:paraId="7C6B05BB" w14:textId="77777777" w:rsidR="00412015" w:rsidRDefault="00412015" w:rsidP="00D14830">
      <w:pPr>
        <w:pStyle w:val="Heading2"/>
      </w:pPr>
      <w:r w:rsidRPr="00412015">
        <w:rPr>
          <w:b/>
          <w:bCs/>
        </w:rPr>
        <w:lastRenderedPageBreak/>
        <w:t>ECN</w:t>
      </w:r>
      <w:r>
        <w:t xml:space="preserve"> – Engineering Change Notice</w:t>
      </w:r>
    </w:p>
    <w:p w14:paraId="37B023EF" w14:textId="30C7BFAF" w:rsidR="00412015" w:rsidRDefault="00412015" w:rsidP="00D14830">
      <w:pPr>
        <w:pStyle w:val="Heading2"/>
      </w:pPr>
      <w:r w:rsidRPr="00412015">
        <w:rPr>
          <w:b/>
          <w:bCs/>
        </w:rPr>
        <w:t>ROI</w:t>
      </w:r>
      <w:r>
        <w:t xml:space="preserve"> – Return on Investment</w:t>
      </w:r>
    </w:p>
    <w:p w14:paraId="432B3BC3" w14:textId="77777777" w:rsidR="00412015" w:rsidRDefault="00412015" w:rsidP="008768BF">
      <w:pPr>
        <w:pStyle w:val="Heading2"/>
      </w:pPr>
      <w:r w:rsidRPr="00412015">
        <w:rPr>
          <w:b/>
          <w:bCs/>
        </w:rPr>
        <w:t>BOM</w:t>
      </w:r>
      <w:r>
        <w:t xml:space="preserve"> – Bill of Materials</w:t>
      </w:r>
    </w:p>
    <w:p w14:paraId="6A979154" w14:textId="6CA08B44" w:rsidR="00412015" w:rsidRDefault="00412015" w:rsidP="008768BF">
      <w:pPr>
        <w:pStyle w:val="Heading2"/>
      </w:pPr>
      <w:r w:rsidRPr="00412015">
        <w:rPr>
          <w:b/>
          <w:bCs/>
        </w:rPr>
        <w:t>CAD</w:t>
      </w:r>
      <w:r>
        <w:t xml:space="preserve"> – Computer-Aided Design</w:t>
      </w:r>
    </w:p>
    <w:p w14:paraId="660BB154" w14:textId="57090C6E" w:rsidR="00412015" w:rsidRDefault="00412015" w:rsidP="00412015">
      <w:pPr>
        <w:pStyle w:val="Heading2"/>
      </w:pPr>
      <w:r w:rsidRPr="00412015">
        <w:rPr>
          <w:b/>
          <w:bCs/>
        </w:rPr>
        <w:t>Engineering Drawings</w:t>
      </w:r>
      <w:r>
        <w:t xml:space="preserve"> – This includes any drawing used to communicate design intent or instruction created by the Engineering organization.</w:t>
      </w:r>
    </w:p>
    <w:p w14:paraId="112EB76C" w14:textId="26AE7216" w:rsidR="004351E4" w:rsidRPr="004351E4" w:rsidRDefault="004351E4" w:rsidP="004351E4">
      <w:pPr>
        <w:pStyle w:val="Heading2"/>
      </w:pPr>
      <w:r w:rsidRPr="004351E4">
        <w:rPr>
          <w:b/>
          <w:bCs/>
        </w:rPr>
        <w:t>PDF Mark-Up</w:t>
      </w:r>
      <w:r>
        <w:t xml:space="preserve"> – A PDF version of an engineering drawing that has been marked up </w:t>
      </w:r>
      <w:r w:rsidR="00DF66C9">
        <w:t>for</w:t>
      </w:r>
      <w:r>
        <w:t xml:space="preserve"> change.</w:t>
      </w:r>
    </w:p>
    <w:p w14:paraId="1BB75C2F" w14:textId="71C80092" w:rsidR="0011541F" w:rsidRDefault="0011541F">
      <w:pPr>
        <w:spacing w:after="0" w:line="240" w:lineRule="auto"/>
      </w:pPr>
      <w:r>
        <w:br w:type="page"/>
      </w:r>
    </w:p>
    <w:p w14:paraId="645825E7" w14:textId="188A93DB" w:rsidR="00EE6572" w:rsidRDefault="00EE6572" w:rsidP="00EE6572">
      <w:pPr>
        <w:pStyle w:val="Heading1"/>
      </w:pPr>
      <w:bookmarkStart w:id="7" w:name="_Toc346632905"/>
      <w:bookmarkStart w:id="8" w:name="_Toc81206396"/>
      <w:r w:rsidRPr="00556627">
        <w:lastRenderedPageBreak/>
        <w:t>Graphic</w:t>
      </w:r>
      <w:bookmarkEnd w:id="7"/>
      <w:bookmarkEnd w:id="8"/>
    </w:p>
    <w:p w14:paraId="324CBCD8" w14:textId="3ED18830" w:rsidR="008A3DBB" w:rsidRDefault="008A3DBB" w:rsidP="008A3DBB">
      <w:pPr>
        <w:ind w:left="720"/>
      </w:pPr>
    </w:p>
    <w:p w14:paraId="44F5728D" w14:textId="1B61239D" w:rsidR="008A3DBB" w:rsidRDefault="007C2432" w:rsidP="008A3DBB">
      <w:pPr>
        <w:ind w:left="720"/>
      </w:pPr>
      <w:r>
        <w:object w:dxaOrig="18316" w:dyaOrig="18991" w14:anchorId="4FA97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456pt" o:ole="">
            <v:imagedata r:id="rId9" o:title=""/>
          </v:shape>
          <o:OLEObject Type="Embed" ProgID="Visio.Drawing.15" ShapeID="_x0000_i1025" DrawAspect="Content" ObjectID="_1702987423" r:id="rId10"/>
        </w:object>
      </w:r>
    </w:p>
    <w:p w14:paraId="17385B06" w14:textId="77777777" w:rsidR="008A3DBB" w:rsidRPr="007B0B96" w:rsidRDefault="008A3DBB" w:rsidP="008A3DBB">
      <w:pPr>
        <w:ind w:left="720"/>
      </w:pPr>
    </w:p>
    <w:p w14:paraId="6808B9D0" w14:textId="77777777" w:rsidR="003E4F62" w:rsidRDefault="003E4F62" w:rsidP="00EE6572">
      <w:pPr>
        <w:ind w:left="720"/>
      </w:pPr>
    </w:p>
    <w:p w14:paraId="31CD4917" w14:textId="77777777" w:rsidR="00EE6572" w:rsidRPr="00556627" w:rsidRDefault="00EE6572" w:rsidP="00EE6572">
      <w:pPr>
        <w:pStyle w:val="Heading1"/>
      </w:pPr>
      <w:bookmarkStart w:id="9" w:name="_Toc346632906"/>
      <w:bookmarkStart w:id="10" w:name="_Toc81206397"/>
      <w:r w:rsidRPr="00556627">
        <w:t>Responsibilities</w:t>
      </w:r>
      <w:bookmarkEnd w:id="9"/>
      <w:bookmarkEnd w:id="10"/>
    </w:p>
    <w:p w14:paraId="25FB0C49" w14:textId="67948861" w:rsidR="00A558B4" w:rsidRPr="008566DB" w:rsidRDefault="00A558B4" w:rsidP="00A558B4">
      <w:pPr>
        <w:pStyle w:val="Heading2"/>
        <w:rPr>
          <w:b/>
          <w:bCs/>
        </w:rPr>
      </w:pPr>
      <w:r w:rsidRPr="008566DB">
        <w:rPr>
          <w:b/>
          <w:bCs/>
        </w:rPr>
        <w:t>Lab/Office Engineer</w:t>
      </w:r>
    </w:p>
    <w:p w14:paraId="19B1F217" w14:textId="177839AA" w:rsidR="00780B4F" w:rsidRPr="00780B4F" w:rsidRDefault="009E2C5F" w:rsidP="00780B4F">
      <w:pPr>
        <w:pStyle w:val="Heading3"/>
      </w:pPr>
      <w:r>
        <w:t>Create mark-up of required changes.</w:t>
      </w:r>
    </w:p>
    <w:p w14:paraId="29D22767" w14:textId="5B8972C2" w:rsidR="009E2C5F" w:rsidRDefault="003B625F" w:rsidP="00EC3817">
      <w:pPr>
        <w:pStyle w:val="Heading3"/>
      </w:pPr>
      <w:r>
        <w:t>S</w:t>
      </w:r>
      <w:r w:rsidR="009E2C5F">
        <w:t xml:space="preserve">ubmit request for </w:t>
      </w:r>
      <w:r w:rsidR="002C1FC8">
        <w:t>D</w:t>
      </w:r>
      <w:r w:rsidR="00E254BF">
        <w:t>esign/</w:t>
      </w:r>
      <w:r w:rsidR="002C1FC8">
        <w:t>D</w:t>
      </w:r>
      <w:r w:rsidR="00E254BF">
        <w:t>rafting support.</w:t>
      </w:r>
    </w:p>
    <w:p w14:paraId="5EC5530E" w14:textId="7CF80BF1" w:rsidR="002C1FC8" w:rsidRDefault="002C1FC8" w:rsidP="002C1FC8">
      <w:pPr>
        <w:pStyle w:val="Heading3"/>
      </w:pPr>
      <w:r>
        <w:t xml:space="preserve">Work with Design/Drafting to evaluate </w:t>
      </w:r>
      <w:r w:rsidR="009F2D0A">
        <w:t>appropriate</w:t>
      </w:r>
      <w:r>
        <w:t xml:space="preserve"> format for updated drawings.</w:t>
      </w:r>
    </w:p>
    <w:p w14:paraId="40181E74" w14:textId="2AA7CD03" w:rsidR="003B625F" w:rsidRDefault="003B625F" w:rsidP="003B625F">
      <w:pPr>
        <w:pStyle w:val="Heading3"/>
      </w:pPr>
      <w:r>
        <w:t>Check updated drawing for accuracy per Drawing &amp; BOM Checking Work Instruction.</w:t>
      </w:r>
    </w:p>
    <w:p w14:paraId="0270ADBB" w14:textId="21F2D76E" w:rsidR="004F2D7A" w:rsidRDefault="00752142" w:rsidP="004F2D7A">
      <w:pPr>
        <w:pStyle w:val="Heading3"/>
      </w:pPr>
      <w:r>
        <w:t>Review/</w:t>
      </w:r>
      <w:r w:rsidR="004F2D7A">
        <w:t>Approve ECN.</w:t>
      </w:r>
    </w:p>
    <w:p w14:paraId="72CDDEE3" w14:textId="77777777" w:rsidR="004F2D7A" w:rsidRPr="004F2D7A" w:rsidRDefault="004F2D7A" w:rsidP="004F2D7A">
      <w:pPr>
        <w:pStyle w:val="Body3"/>
      </w:pPr>
    </w:p>
    <w:p w14:paraId="565292BD" w14:textId="582B90CA" w:rsidR="00A558B4" w:rsidRPr="00EC3817" w:rsidRDefault="003B625F" w:rsidP="00A558B4">
      <w:pPr>
        <w:pStyle w:val="Heading2"/>
        <w:rPr>
          <w:b/>
          <w:bCs/>
        </w:rPr>
      </w:pPr>
      <w:r>
        <w:rPr>
          <w:b/>
          <w:bCs/>
        </w:rPr>
        <w:t>Design/Drafting</w:t>
      </w:r>
    </w:p>
    <w:p w14:paraId="445CA1B8" w14:textId="1025E3EB" w:rsidR="00A0645E" w:rsidRDefault="00534611" w:rsidP="0011541F">
      <w:pPr>
        <w:pStyle w:val="Heading3"/>
        <w:numPr>
          <w:ilvl w:val="0"/>
          <w:numId w:val="0"/>
        </w:numPr>
        <w:ind w:left="2160" w:hanging="720"/>
      </w:pPr>
      <w:r>
        <w:t xml:space="preserve">Note: </w:t>
      </w:r>
      <w:r w:rsidR="00A0645E">
        <w:t>This role may be filled by the Lab/Office Engineer.</w:t>
      </w:r>
    </w:p>
    <w:p w14:paraId="5BC924ED" w14:textId="392C3580" w:rsidR="00FB658C" w:rsidRPr="00FB658C" w:rsidRDefault="002C1FC8" w:rsidP="00FB658C">
      <w:pPr>
        <w:pStyle w:val="Heading3"/>
      </w:pPr>
      <w:r>
        <w:t>Determine</w:t>
      </w:r>
      <w:r w:rsidR="00992003">
        <w:t xml:space="preserve"> </w:t>
      </w:r>
      <w:r w:rsidR="009F2D0A">
        <w:t>appropriate</w:t>
      </w:r>
      <w:r w:rsidR="00992003">
        <w:t xml:space="preserve"> format for updated drawings</w:t>
      </w:r>
      <w:r w:rsidR="004F7906">
        <w:t xml:space="preserve"> in collaboration with Lab/Office.</w:t>
      </w:r>
    </w:p>
    <w:p w14:paraId="5CFC6155" w14:textId="109306A4" w:rsidR="00FB658C" w:rsidRDefault="00FB658C" w:rsidP="008566DB">
      <w:pPr>
        <w:pStyle w:val="Heading3"/>
      </w:pPr>
      <w:r>
        <w:t>Submit approval for PDF mark-up (if required).</w:t>
      </w:r>
    </w:p>
    <w:p w14:paraId="3E0B0EFC" w14:textId="07016E98" w:rsidR="008566DB" w:rsidRDefault="00851270" w:rsidP="008566DB">
      <w:pPr>
        <w:pStyle w:val="Heading3"/>
      </w:pPr>
      <w:r>
        <w:t xml:space="preserve">Update the </w:t>
      </w:r>
      <w:r w:rsidR="003B625F">
        <w:t>drawing in approved format.</w:t>
      </w:r>
    </w:p>
    <w:p w14:paraId="20DD3F57" w14:textId="72EEE75A" w:rsidR="003B625F" w:rsidRDefault="00780B4F" w:rsidP="003B625F">
      <w:pPr>
        <w:pStyle w:val="Heading3"/>
      </w:pPr>
      <w:r>
        <w:t>Submit</w:t>
      </w:r>
      <w:r w:rsidR="003B625F">
        <w:t xml:space="preserve"> </w:t>
      </w:r>
      <w:r w:rsidR="001F0774">
        <w:t xml:space="preserve">an </w:t>
      </w:r>
      <w:r w:rsidR="003B625F">
        <w:t xml:space="preserve">ECN for </w:t>
      </w:r>
      <w:r>
        <w:t>the updates</w:t>
      </w:r>
      <w:r w:rsidR="003B625F">
        <w:t>.</w:t>
      </w:r>
    </w:p>
    <w:p w14:paraId="3753078C" w14:textId="7F3DE59F" w:rsidR="003B625F" w:rsidRDefault="003B625F" w:rsidP="003B625F">
      <w:pPr>
        <w:pStyle w:val="Heading3"/>
      </w:pPr>
      <w:r>
        <w:t>Archive file being replaced.</w:t>
      </w:r>
    </w:p>
    <w:p w14:paraId="049F13F4" w14:textId="62706365" w:rsidR="003B625F" w:rsidRDefault="003B625F" w:rsidP="003B625F">
      <w:pPr>
        <w:pStyle w:val="Heading3"/>
      </w:pPr>
      <w:r>
        <w:t xml:space="preserve">Close </w:t>
      </w:r>
      <w:r w:rsidR="001F0774">
        <w:t xml:space="preserve">the </w:t>
      </w:r>
      <w:r>
        <w:t>ECN</w:t>
      </w:r>
      <w:r w:rsidR="004F2D7A">
        <w:t>.</w:t>
      </w:r>
    </w:p>
    <w:p w14:paraId="73AD5C09" w14:textId="77777777" w:rsidR="008362C6" w:rsidRPr="008362C6" w:rsidRDefault="008362C6" w:rsidP="008362C6">
      <w:pPr>
        <w:pStyle w:val="Body3"/>
      </w:pPr>
    </w:p>
    <w:p w14:paraId="3B0E8D1D" w14:textId="72F6C4AD" w:rsidR="00CC7AC1" w:rsidRDefault="00CC7AC1" w:rsidP="00A558B4">
      <w:pPr>
        <w:pStyle w:val="Heading2"/>
        <w:rPr>
          <w:b/>
          <w:bCs/>
        </w:rPr>
      </w:pPr>
      <w:r>
        <w:rPr>
          <w:b/>
          <w:bCs/>
        </w:rPr>
        <w:t>Design Management</w:t>
      </w:r>
    </w:p>
    <w:p w14:paraId="0AC2229A" w14:textId="396F103A" w:rsidR="00E81B08" w:rsidRDefault="00E81B08" w:rsidP="00780B4F">
      <w:pPr>
        <w:pStyle w:val="Heading3"/>
      </w:pPr>
      <w:r>
        <w:t>Assign Design resource.</w:t>
      </w:r>
    </w:p>
    <w:p w14:paraId="6C3081DF" w14:textId="2EA1A84B" w:rsidR="00780B4F" w:rsidRPr="00780B4F" w:rsidRDefault="00780B4F" w:rsidP="00780B4F">
      <w:pPr>
        <w:pStyle w:val="Heading3"/>
      </w:pPr>
      <w:r w:rsidRPr="00780B4F">
        <w:t>Assist in ROI analysis if necessary.</w:t>
      </w:r>
    </w:p>
    <w:p w14:paraId="7FE409AB" w14:textId="06D5D62E" w:rsidR="00CC7AC1" w:rsidRDefault="00CC7AC1" w:rsidP="00CC7AC1">
      <w:pPr>
        <w:pStyle w:val="Heading3"/>
      </w:pPr>
      <w:r>
        <w:t xml:space="preserve">Collaborate with ERC on </w:t>
      </w:r>
      <w:r w:rsidR="00FB658C">
        <w:t>PDF mark-up</w:t>
      </w:r>
      <w:r>
        <w:t xml:space="preserve"> approvals, as necessary.</w:t>
      </w:r>
    </w:p>
    <w:p w14:paraId="45AC518E" w14:textId="77777777" w:rsidR="00CC7AC1" w:rsidRPr="00CC7AC1" w:rsidRDefault="00CC7AC1" w:rsidP="00CC7AC1">
      <w:pPr>
        <w:pStyle w:val="Body2"/>
      </w:pPr>
    </w:p>
    <w:p w14:paraId="28988D9F" w14:textId="79A7F27D" w:rsidR="00A558B4" w:rsidRPr="00EC3817" w:rsidRDefault="00A558B4" w:rsidP="00A558B4">
      <w:pPr>
        <w:pStyle w:val="Heading2"/>
        <w:rPr>
          <w:b/>
          <w:bCs/>
        </w:rPr>
      </w:pPr>
      <w:r w:rsidRPr="00EC3817">
        <w:rPr>
          <w:b/>
          <w:bCs/>
        </w:rPr>
        <w:t>Engineering Records Control</w:t>
      </w:r>
    </w:p>
    <w:p w14:paraId="77D78550" w14:textId="551B679F" w:rsidR="00EE6572" w:rsidRDefault="008566DB" w:rsidP="008566DB">
      <w:pPr>
        <w:pStyle w:val="Heading3"/>
      </w:pPr>
      <w:r>
        <w:lastRenderedPageBreak/>
        <w:t xml:space="preserve">Process the </w:t>
      </w:r>
      <w:r w:rsidR="003B625F">
        <w:t>ECN</w:t>
      </w:r>
      <w:r w:rsidR="00CC7AC1">
        <w:t>.</w:t>
      </w:r>
    </w:p>
    <w:p w14:paraId="4F466288" w14:textId="509E53F2" w:rsidR="00CC7AC1" w:rsidRDefault="00CC7AC1" w:rsidP="00CC7AC1">
      <w:pPr>
        <w:pStyle w:val="Heading3"/>
      </w:pPr>
      <w:r>
        <w:t xml:space="preserve">Collaborate with Design Management on </w:t>
      </w:r>
      <w:r w:rsidR="00EC5DD6">
        <w:t>PDF mark-up</w:t>
      </w:r>
      <w:r>
        <w:t xml:space="preserve"> approvals, as necessary.</w:t>
      </w:r>
    </w:p>
    <w:p w14:paraId="2243163E" w14:textId="77777777" w:rsidR="008566DB" w:rsidRPr="00421A54" w:rsidRDefault="008566DB" w:rsidP="00EE6572">
      <w:pPr>
        <w:spacing w:before="160" w:after="120" w:line="276" w:lineRule="auto"/>
        <w:ind w:left="720"/>
      </w:pPr>
    </w:p>
    <w:p w14:paraId="22223F5B" w14:textId="77777777" w:rsidR="00EE6572" w:rsidRPr="00556627" w:rsidRDefault="00EE6572" w:rsidP="00EE6572">
      <w:pPr>
        <w:pStyle w:val="Heading1"/>
      </w:pPr>
      <w:bookmarkStart w:id="11" w:name="_Toc81206398"/>
      <w:r>
        <w:t>Procedure</w:t>
      </w:r>
      <w:bookmarkEnd w:id="11"/>
    </w:p>
    <w:p w14:paraId="16E5521D" w14:textId="38F22D7F" w:rsidR="008A3DBB" w:rsidRPr="00180F42" w:rsidRDefault="005D04D9" w:rsidP="008A3DBB">
      <w:pPr>
        <w:pStyle w:val="Heading2"/>
        <w:rPr>
          <w:b/>
          <w:bCs/>
        </w:rPr>
      </w:pPr>
      <w:r w:rsidRPr="00180F42">
        <w:rPr>
          <w:b/>
          <w:bCs/>
        </w:rPr>
        <w:t>Lab/Office Engineer</w:t>
      </w:r>
    </w:p>
    <w:p w14:paraId="25FD63C7" w14:textId="0F92FCA1" w:rsidR="00180F42" w:rsidRDefault="00180F42" w:rsidP="00180F42">
      <w:pPr>
        <w:pStyle w:val="Heading3"/>
      </w:pPr>
      <w:r>
        <w:t xml:space="preserve">Check DOD </w:t>
      </w:r>
      <w:r w:rsidR="002126B1">
        <w:t xml:space="preserve">and SAP </w:t>
      </w:r>
      <w:r>
        <w:t xml:space="preserve">to ensure </w:t>
      </w:r>
      <w:r w:rsidR="00E53300">
        <w:t>the drawing you intend to mark-</w:t>
      </w:r>
      <w:r>
        <w:t>up matches the latest revision.</w:t>
      </w:r>
    </w:p>
    <w:p w14:paraId="778889ED" w14:textId="47C1A0DF" w:rsidR="00180F42" w:rsidRDefault="00180F42" w:rsidP="00180F42">
      <w:pPr>
        <w:pStyle w:val="Heading3"/>
      </w:pPr>
      <w:r>
        <w:t xml:space="preserve">Check to ensure a conversion has not already been done but not </w:t>
      </w:r>
      <w:r w:rsidR="008309C5">
        <w:t>submitted</w:t>
      </w:r>
      <w:r>
        <w:t xml:space="preserve"> to DOD.  The Vault, DBWorks, CADSUN, EPLAN repository, etc. should be checked depending on the format of the expected final product.</w:t>
      </w:r>
    </w:p>
    <w:p w14:paraId="2F92C6FA" w14:textId="77777777" w:rsidR="00534611" w:rsidRDefault="00534611" w:rsidP="008309C5">
      <w:pPr>
        <w:pStyle w:val="Heading3"/>
      </w:pPr>
      <w:r>
        <w:t>Mark-up the drawing with required changes.</w:t>
      </w:r>
    </w:p>
    <w:p w14:paraId="6A4555DD" w14:textId="0C98F1CD" w:rsidR="008309C5" w:rsidRDefault="008309C5" w:rsidP="008309C5">
      <w:pPr>
        <w:pStyle w:val="Heading3"/>
      </w:pPr>
      <w:r>
        <w:t xml:space="preserve">Submit </w:t>
      </w:r>
      <w:r w:rsidR="00CD3ADC">
        <w:t xml:space="preserve">a request for </w:t>
      </w:r>
      <w:r w:rsidR="00586F07">
        <w:t xml:space="preserve">design/drafting </w:t>
      </w:r>
      <w:r w:rsidR="00CD3ADC">
        <w:t>support</w:t>
      </w:r>
      <w:r>
        <w:t xml:space="preserve"> to Design management.</w:t>
      </w:r>
    </w:p>
    <w:p w14:paraId="76E5E70B" w14:textId="787B4EF7" w:rsidR="008309C5" w:rsidRDefault="00CD3ADC" w:rsidP="008309C5">
      <w:pPr>
        <w:pStyle w:val="Heading4"/>
      </w:pPr>
      <w:r>
        <w:t>This should be a simple e</w:t>
      </w:r>
      <w:r w:rsidR="008309C5">
        <w:t xml:space="preserve">-mail request to Design </w:t>
      </w:r>
      <w:r w:rsidR="00F272E3">
        <w:t>M</w:t>
      </w:r>
      <w:r w:rsidR="008309C5">
        <w:t>anager</w:t>
      </w:r>
      <w:r w:rsidR="00E53300">
        <w:t xml:space="preserve"> with a description of the changes, estimate of hours, and a charge number</w:t>
      </w:r>
      <w:r w:rsidR="008309C5">
        <w:t>.</w:t>
      </w:r>
    </w:p>
    <w:p w14:paraId="6CDD82BC" w14:textId="146C6BC3" w:rsidR="008309C5" w:rsidRPr="00534611" w:rsidRDefault="00E81B08" w:rsidP="008309C5">
      <w:pPr>
        <w:pStyle w:val="Heading4"/>
      </w:pPr>
      <w:r>
        <w:t xml:space="preserve">Note: </w:t>
      </w:r>
      <w:r w:rsidR="008309C5">
        <w:t xml:space="preserve">Lab/Office may execute the changes themselves without Design </w:t>
      </w:r>
      <w:r w:rsidR="008309C5" w:rsidRPr="00534611">
        <w:t>support.</w:t>
      </w:r>
    </w:p>
    <w:p w14:paraId="3AEA5DFC" w14:textId="50069287" w:rsidR="00534611" w:rsidRPr="00534611" w:rsidRDefault="00A0645E" w:rsidP="00534611">
      <w:pPr>
        <w:pStyle w:val="Heading3"/>
      </w:pPr>
      <w:r w:rsidRPr="00534611">
        <w:t xml:space="preserve">Collaborate with </w:t>
      </w:r>
      <w:r w:rsidR="00C90E9A" w:rsidRPr="00534611">
        <w:t xml:space="preserve">Design/Drafting to evaluate </w:t>
      </w:r>
      <w:r w:rsidR="009F2D0A">
        <w:t>appropriate</w:t>
      </w:r>
      <w:r w:rsidR="00C90E9A" w:rsidRPr="00534611">
        <w:t xml:space="preserve"> format for updated drawings.</w:t>
      </w:r>
    </w:p>
    <w:p w14:paraId="3FEC55B0" w14:textId="77777777" w:rsidR="00534611" w:rsidRPr="00534611" w:rsidRDefault="00534611" w:rsidP="00534611">
      <w:pPr>
        <w:pStyle w:val="Heading3"/>
      </w:pPr>
      <w:r w:rsidRPr="00534611">
        <w:t>Check drawings upon return from Design/Drafting per latest revision of the Drawing &amp; BOM Checking Work Instruction.</w:t>
      </w:r>
    </w:p>
    <w:p w14:paraId="4E60DD62" w14:textId="2779511D" w:rsidR="00F272E3" w:rsidRDefault="00534611" w:rsidP="00534611">
      <w:pPr>
        <w:pStyle w:val="Heading3"/>
      </w:pPr>
      <w:r>
        <w:t>Review/Approve ECN in the ECM Portal, as required.</w:t>
      </w:r>
    </w:p>
    <w:p w14:paraId="74299B53" w14:textId="77777777" w:rsidR="002D515E" w:rsidRPr="002D515E" w:rsidRDefault="002D515E" w:rsidP="002D515E">
      <w:pPr>
        <w:pStyle w:val="Body3"/>
      </w:pPr>
    </w:p>
    <w:p w14:paraId="7603C7C4" w14:textId="4A39576B" w:rsidR="00C90E9A" w:rsidRPr="00C90E9A" w:rsidRDefault="00C90E9A" w:rsidP="00C90E9A">
      <w:pPr>
        <w:pStyle w:val="Heading2"/>
        <w:rPr>
          <w:b/>
          <w:bCs/>
        </w:rPr>
      </w:pPr>
      <w:r w:rsidRPr="00C90E9A">
        <w:rPr>
          <w:b/>
          <w:bCs/>
        </w:rPr>
        <w:t>Design/Drafting</w:t>
      </w:r>
    </w:p>
    <w:p w14:paraId="1A4FFA99" w14:textId="70646676" w:rsidR="00C90E9A" w:rsidRDefault="00C90E9A" w:rsidP="00C90E9A">
      <w:pPr>
        <w:pStyle w:val="Heading3"/>
      </w:pPr>
      <w:r>
        <w:t xml:space="preserve">Determine </w:t>
      </w:r>
      <w:r w:rsidR="009F2D0A">
        <w:t>appropriate</w:t>
      </w:r>
      <w:r>
        <w:t xml:space="preserve"> format for updated drawings in collaboration with Lab/Office.</w:t>
      </w:r>
    </w:p>
    <w:p w14:paraId="63DAEB48" w14:textId="3793EC7F" w:rsidR="00C90E9A" w:rsidRDefault="00360169" w:rsidP="00C90E9A">
      <w:pPr>
        <w:pStyle w:val="Heading4"/>
      </w:pPr>
      <w:r>
        <w:t>Formatting o</w:t>
      </w:r>
      <w:r w:rsidR="00C90E9A">
        <w:t xml:space="preserve">ptions for updated engineering drawings </w:t>
      </w:r>
      <w:proofErr w:type="gramStart"/>
      <w:r w:rsidR="00C90E9A">
        <w:t>include:</w:t>
      </w:r>
      <w:proofErr w:type="gramEnd"/>
      <w:r w:rsidR="00C90E9A">
        <w:t xml:space="preserve"> AutoCAD</w:t>
      </w:r>
      <w:r w:rsidR="005B22C0">
        <w:t>, AutoCAD-Electrical</w:t>
      </w:r>
      <w:r w:rsidR="00C90E9A">
        <w:t>, SolidWorks,</w:t>
      </w:r>
      <w:r w:rsidR="00A0645E" w:rsidRPr="00A0645E">
        <w:t xml:space="preserve"> EPLAN</w:t>
      </w:r>
      <w:r w:rsidR="00C90E9A" w:rsidRPr="00A0645E">
        <w:t xml:space="preserve"> </w:t>
      </w:r>
      <w:r w:rsidR="00C90E9A">
        <w:t xml:space="preserve">and </w:t>
      </w:r>
      <w:r w:rsidR="00E53300">
        <w:t>in special situations, a PDF mark-up</w:t>
      </w:r>
      <w:r w:rsidR="00C90E9A">
        <w:t xml:space="preserve">.  </w:t>
      </w:r>
      <w:r w:rsidR="00E53300">
        <w:t>PDF mark-ups</w:t>
      </w:r>
      <w:r w:rsidR="00C90E9A">
        <w:t xml:space="preserve"> are only allowed where the drawing is expected to be re-used rarely and requires both Design Manage</w:t>
      </w:r>
      <w:r>
        <w:t>ment and ERC</w:t>
      </w:r>
      <w:r w:rsidR="00C90E9A">
        <w:t xml:space="preserve"> approval.</w:t>
      </w:r>
      <w:r w:rsidR="00373CA2">
        <w:t xml:space="preserve">  </w:t>
      </w:r>
      <w:r>
        <w:t xml:space="preserve">ROI </w:t>
      </w:r>
      <w:r>
        <w:lastRenderedPageBreak/>
        <w:t>should be evaluated before conversion if the resulting work is &gt; 1 hour.</w:t>
      </w:r>
    </w:p>
    <w:p w14:paraId="6081113B" w14:textId="1EFC2E90" w:rsidR="00C90E9A" w:rsidRDefault="00C90E9A" w:rsidP="00C90E9A">
      <w:pPr>
        <w:pStyle w:val="Heading4"/>
      </w:pPr>
      <w:r>
        <w:t xml:space="preserve">If the current format is </w:t>
      </w:r>
      <w:proofErr w:type="spellStart"/>
      <w:r>
        <w:t>Microstation</w:t>
      </w:r>
      <w:proofErr w:type="spellEnd"/>
      <w:r>
        <w:t>, AutoCAD</w:t>
      </w:r>
      <w:r w:rsidR="00FC6F3F">
        <w:t xml:space="preserve"> and </w:t>
      </w:r>
      <w:r w:rsidR="005B22C0">
        <w:t>AutoCAD-Electrical</w:t>
      </w:r>
      <w:r>
        <w:t xml:space="preserve"> </w:t>
      </w:r>
      <w:r w:rsidR="00FC6F3F">
        <w:t>are</w:t>
      </w:r>
      <w:r>
        <w:t xml:space="preserve"> efficient tool</w:t>
      </w:r>
      <w:r w:rsidR="00FC6F3F">
        <w:t>s</w:t>
      </w:r>
      <w:r>
        <w:t xml:space="preserve"> to import and </w:t>
      </w:r>
      <w:r w:rsidR="0045246E">
        <w:t>update</w:t>
      </w:r>
      <w:r>
        <w:t xml:space="preserve"> to create an editable file in a currently supported format.  Therefore, a </w:t>
      </w:r>
      <w:r w:rsidR="00E53300">
        <w:t>PDF</w:t>
      </w:r>
      <w:r>
        <w:t xml:space="preserve"> mark-up is typically not allowed in this circumstance.  </w:t>
      </w:r>
      <w:r w:rsidR="00F272E3" w:rsidRPr="004002E6">
        <w:t>Conversion</w:t>
      </w:r>
      <w:r w:rsidR="00A44ABE" w:rsidRPr="004002E6">
        <w:t xml:space="preserve"> to </w:t>
      </w:r>
      <w:r w:rsidRPr="004002E6">
        <w:t>SolidWorks is preferred for mechanical parts so that the drawing is based on the 3D model and will serve to help check the accuracy of the model.</w:t>
      </w:r>
      <w:r w:rsidR="00F272E3">
        <w:t xml:space="preserve">  </w:t>
      </w:r>
    </w:p>
    <w:p w14:paraId="2760DF2C" w14:textId="77777777" w:rsidR="00E53300" w:rsidRDefault="00C90E9A" w:rsidP="00C90E9A">
      <w:pPr>
        <w:pStyle w:val="Heading4"/>
      </w:pPr>
      <w:r>
        <w:t xml:space="preserve">If the current format is a hand-drawn scan, </w:t>
      </w:r>
      <w:r w:rsidR="003B2F21">
        <w:t>converting</w:t>
      </w:r>
      <w:r>
        <w:t xml:space="preserve"> to a current format is preferred</w:t>
      </w:r>
      <w:r w:rsidR="00E53300">
        <w:t xml:space="preserve"> for clarity</w:t>
      </w:r>
      <w:r>
        <w:t xml:space="preserve">.  Scanning a </w:t>
      </w:r>
      <w:r w:rsidR="00E53300">
        <w:t xml:space="preserve">PDF </w:t>
      </w:r>
      <w:r>
        <w:t xml:space="preserve">mark-up for submission is acceptable under the conditions noted </w:t>
      </w:r>
      <w:r w:rsidR="0045246E">
        <w:t>in 6.2.1.1</w:t>
      </w:r>
      <w:r>
        <w:t>.</w:t>
      </w:r>
    </w:p>
    <w:p w14:paraId="527EE9BC" w14:textId="5148E792" w:rsidR="00C90E9A" w:rsidRDefault="00C90E9A" w:rsidP="00C90E9A">
      <w:pPr>
        <w:pStyle w:val="Heading4"/>
      </w:pPr>
      <w:r>
        <w:t>NOTE: 3</w:t>
      </w:r>
      <w:r w:rsidRPr="00626FE2">
        <w:rPr>
          <w:vertAlign w:val="superscript"/>
        </w:rPr>
        <w:t>rd</w:t>
      </w:r>
      <w:r>
        <w:t xml:space="preserve"> Party Drafting resources can be an efficient way to re-draw, especially in large quantities.</w:t>
      </w:r>
      <w:r w:rsidR="00E53300">
        <w:t xml:space="preserve">  Consult with Design Management.</w:t>
      </w:r>
    </w:p>
    <w:p w14:paraId="6C98E014" w14:textId="493A5AB3" w:rsidR="00FB658C" w:rsidRDefault="00FB658C" w:rsidP="001F0774">
      <w:pPr>
        <w:pStyle w:val="Heading3"/>
      </w:pPr>
      <w:r>
        <w:t>If a PDF mark-up is the desired output chosen, approval is required from Design Management</w:t>
      </w:r>
      <w:r w:rsidR="00373CA2">
        <w:t xml:space="preserve"> and ERC</w:t>
      </w:r>
      <w:r>
        <w:t>.  Submit request to Design Management via e-mail</w:t>
      </w:r>
      <w:r w:rsidR="003F072D">
        <w:t xml:space="preserve"> with a description of the changes to be made and the estimate of time </w:t>
      </w:r>
      <w:r w:rsidR="00F6562F">
        <w:t>saved by doing a PDF mark-up instead of conversion</w:t>
      </w:r>
      <w:r w:rsidR="003F072D">
        <w:t>.</w:t>
      </w:r>
    </w:p>
    <w:p w14:paraId="768BE405" w14:textId="211C16A5" w:rsidR="0012102C" w:rsidRDefault="001F0774" w:rsidP="001F0774">
      <w:pPr>
        <w:pStyle w:val="Heading3"/>
      </w:pPr>
      <w:r>
        <w:t xml:space="preserve">Make the drawing updates in the </w:t>
      </w:r>
      <w:r w:rsidR="00373CA2">
        <w:t>appropriate</w:t>
      </w:r>
      <w:r>
        <w:t xml:space="preserve"> format.</w:t>
      </w:r>
    </w:p>
    <w:p w14:paraId="5395D2EC" w14:textId="4E26BF21" w:rsidR="001F0774" w:rsidRDefault="001F0774" w:rsidP="00DB10EC">
      <w:pPr>
        <w:pStyle w:val="Heading3"/>
      </w:pPr>
      <w:r>
        <w:t xml:space="preserve">Submit </w:t>
      </w:r>
      <w:r w:rsidR="00E40A0F">
        <w:t xml:space="preserve">an </w:t>
      </w:r>
      <w:r>
        <w:t xml:space="preserve">ECN </w:t>
      </w:r>
      <w:r w:rsidR="00E40A0F">
        <w:t>per the ECM process.</w:t>
      </w:r>
      <w:r w:rsidR="003F072D">
        <w:t xml:space="preserve">  Attach a copy of PDF mark-up approval e-mail if PDF mark-up is the chosen format.</w:t>
      </w:r>
      <w:r w:rsidR="00F54462">
        <w:t xml:space="preserve">  NOTE: For -XX drawings, all active tabs as well as the -XX document must be included in your ECN.</w:t>
      </w:r>
    </w:p>
    <w:p w14:paraId="259DCE1B" w14:textId="62CE6B11" w:rsidR="00E40A0F" w:rsidRDefault="00E40A0F" w:rsidP="00E40A0F">
      <w:pPr>
        <w:pStyle w:val="Heading3"/>
      </w:pPr>
      <w:r>
        <w:t>Archive obsolete CAD files</w:t>
      </w:r>
      <w:r w:rsidR="00195EDF">
        <w:t>.</w:t>
      </w:r>
    </w:p>
    <w:p w14:paraId="63905B1D" w14:textId="60ED9A9E" w:rsidR="00E40A0F" w:rsidRDefault="00E40A0F" w:rsidP="00E40A0F">
      <w:pPr>
        <w:pStyle w:val="Heading3"/>
      </w:pPr>
      <w:r>
        <w:t>Close the ECN.</w:t>
      </w:r>
    </w:p>
    <w:p w14:paraId="0F9DFA38" w14:textId="3A94FB34" w:rsidR="00E40A0F" w:rsidRDefault="00E40A0F" w:rsidP="00E40A0F">
      <w:pPr>
        <w:pStyle w:val="Body3"/>
      </w:pPr>
    </w:p>
    <w:p w14:paraId="0075D0F6" w14:textId="20CD7C83" w:rsidR="00E40A0F" w:rsidRPr="00E40A0F" w:rsidRDefault="00E40A0F" w:rsidP="00E40A0F">
      <w:pPr>
        <w:pStyle w:val="Heading2"/>
        <w:rPr>
          <w:b/>
          <w:bCs/>
        </w:rPr>
      </w:pPr>
      <w:r w:rsidRPr="00E40A0F">
        <w:rPr>
          <w:b/>
          <w:bCs/>
        </w:rPr>
        <w:t>Design Management</w:t>
      </w:r>
    </w:p>
    <w:p w14:paraId="1D18A17A" w14:textId="05DA9C0F" w:rsidR="00E81B08" w:rsidRDefault="00E81B08" w:rsidP="00CA0C58">
      <w:pPr>
        <w:pStyle w:val="Heading3"/>
      </w:pPr>
      <w:r>
        <w:t>Assign Design resource as needed.</w:t>
      </w:r>
    </w:p>
    <w:p w14:paraId="0E98208D" w14:textId="0BE98F00" w:rsidR="00CA0C58" w:rsidRDefault="00CA0C58" w:rsidP="00373CA2">
      <w:pPr>
        <w:pStyle w:val="Heading3"/>
      </w:pPr>
      <w:r>
        <w:t>Assist in ROI analysis if necessary.</w:t>
      </w:r>
      <w:r w:rsidR="00373CA2">
        <w:t xml:space="preserve">  </w:t>
      </w:r>
      <w:r>
        <w:t>R</w:t>
      </w:r>
      <w:r w:rsidR="00CC3075">
        <w:t>OI</w:t>
      </w:r>
      <w:r>
        <w:t xml:space="preserve"> should be considered when the team is choosing the appropriate format.</w:t>
      </w:r>
      <w:r w:rsidR="00CC3075">
        <w:t xml:space="preserve">  Several factors may need to be considered including, but not limited to:</w:t>
      </w:r>
    </w:p>
    <w:p w14:paraId="788215A1" w14:textId="12E4D05E" w:rsidR="00BF3E29" w:rsidRDefault="00CC3075" w:rsidP="00373CA2">
      <w:pPr>
        <w:pStyle w:val="Body4"/>
        <w:numPr>
          <w:ilvl w:val="0"/>
          <w:numId w:val="19"/>
        </w:numPr>
      </w:pPr>
      <w:r>
        <w:t>Amount of time required to re-draw.</w:t>
      </w:r>
      <w:r w:rsidR="00373CA2">
        <w:t xml:space="preserve">  </w:t>
      </w:r>
      <w:r w:rsidR="00BF3E29">
        <w:t>An assembly requiring updates, for example, may require several sub-components to be updated.</w:t>
      </w:r>
    </w:p>
    <w:p w14:paraId="09231F38" w14:textId="543B0D82" w:rsidR="00CC3075" w:rsidRDefault="00CC3075" w:rsidP="00CC3075">
      <w:pPr>
        <w:pStyle w:val="Body4"/>
        <w:numPr>
          <w:ilvl w:val="0"/>
          <w:numId w:val="19"/>
        </w:numPr>
      </w:pPr>
      <w:r>
        <w:lastRenderedPageBreak/>
        <w:t>Potential future usage of the item being documented.</w:t>
      </w:r>
    </w:p>
    <w:p w14:paraId="792DF929" w14:textId="77777777" w:rsidR="007E67A7" w:rsidRDefault="00CC3075" w:rsidP="007E67A7">
      <w:pPr>
        <w:pStyle w:val="Body4"/>
        <w:numPr>
          <w:ilvl w:val="0"/>
          <w:numId w:val="19"/>
        </w:numPr>
      </w:pPr>
      <w:r>
        <w:t>Value in having a solid model of the part</w:t>
      </w:r>
      <w:r w:rsidR="00BF3E29">
        <w:t xml:space="preserve"> (</w:t>
      </w:r>
      <w:proofErr w:type="gramStart"/>
      <w:r w:rsidR="00D0068F">
        <w:t>i.e.</w:t>
      </w:r>
      <w:proofErr w:type="gramEnd"/>
      <w:r w:rsidR="00D0068F">
        <w:t xml:space="preserve"> </w:t>
      </w:r>
      <w:r w:rsidR="00BF3E29">
        <w:t>for manufacturing</w:t>
      </w:r>
      <w:r w:rsidR="00D0068F">
        <w:t xml:space="preserve"> or use in upper assemblies.)</w:t>
      </w:r>
    </w:p>
    <w:p w14:paraId="0182E1D0" w14:textId="77777777" w:rsidR="00441D6B" w:rsidRDefault="00BF3E29" w:rsidP="00BF3E29">
      <w:pPr>
        <w:pStyle w:val="Heading3"/>
      </w:pPr>
      <w:r>
        <w:t xml:space="preserve">Provide approval decision for </w:t>
      </w:r>
      <w:r w:rsidR="000C4918">
        <w:t>PDF mark-up requests</w:t>
      </w:r>
      <w:r>
        <w:t>.</w:t>
      </w:r>
    </w:p>
    <w:p w14:paraId="416765FF" w14:textId="389C8EED" w:rsidR="00BF3E29" w:rsidRDefault="00441D6B" w:rsidP="00441D6B">
      <w:pPr>
        <w:pStyle w:val="Heading3"/>
        <w:numPr>
          <w:ilvl w:val="0"/>
          <w:numId w:val="20"/>
        </w:numPr>
      </w:pPr>
      <w:r>
        <w:t>If approving, s</w:t>
      </w:r>
      <w:r w:rsidR="000C4918">
        <w:t xml:space="preserve">eek additional approval from ERC </w:t>
      </w:r>
      <w:r w:rsidR="00373CA2">
        <w:t>by forwarding the e-mail request with your approval</w:t>
      </w:r>
      <w:r>
        <w:t xml:space="preserve"> to ERC.</w:t>
      </w:r>
    </w:p>
    <w:p w14:paraId="6923FB0D" w14:textId="28AA134B" w:rsidR="00441D6B" w:rsidRPr="00441D6B" w:rsidRDefault="00441D6B" w:rsidP="00441D6B">
      <w:pPr>
        <w:pStyle w:val="Body3"/>
        <w:numPr>
          <w:ilvl w:val="0"/>
          <w:numId w:val="20"/>
        </w:numPr>
      </w:pPr>
      <w:r>
        <w:t>If rejecting, reply to requester via e-mail with explanation.</w:t>
      </w:r>
    </w:p>
    <w:p w14:paraId="3793F686" w14:textId="28A0E323" w:rsidR="00840547" w:rsidRPr="00840547" w:rsidRDefault="00840547" w:rsidP="00840547">
      <w:pPr>
        <w:pStyle w:val="Heading2"/>
        <w:rPr>
          <w:b/>
          <w:bCs/>
        </w:rPr>
      </w:pPr>
      <w:r w:rsidRPr="00840547">
        <w:rPr>
          <w:b/>
          <w:bCs/>
        </w:rPr>
        <w:t>Engineering Records Control</w:t>
      </w:r>
    </w:p>
    <w:p w14:paraId="67F7CDD9" w14:textId="0A355A65" w:rsidR="00840547" w:rsidRDefault="00840547" w:rsidP="00840547">
      <w:pPr>
        <w:pStyle w:val="Heading3"/>
      </w:pPr>
      <w:r>
        <w:t>Process the ECN in accordance with the ECM process.</w:t>
      </w:r>
    </w:p>
    <w:p w14:paraId="6F4E77BC" w14:textId="77777777" w:rsidR="00B952D5" w:rsidRDefault="00B952D5" w:rsidP="00B952D5">
      <w:pPr>
        <w:pStyle w:val="Heading3"/>
      </w:pPr>
      <w:r>
        <w:t>Collaborate with Design Management on ROI Analysis, as necessary.</w:t>
      </w:r>
    </w:p>
    <w:p w14:paraId="3381AEB6" w14:textId="77777777" w:rsidR="00441D6B" w:rsidRDefault="00840547" w:rsidP="00D0068F">
      <w:pPr>
        <w:pStyle w:val="Heading3"/>
      </w:pPr>
      <w:r>
        <w:t xml:space="preserve">Provide approval decision for </w:t>
      </w:r>
      <w:r w:rsidR="000C4918">
        <w:t>PDF mark-up</w:t>
      </w:r>
      <w:r>
        <w:t xml:space="preserve"> requests</w:t>
      </w:r>
      <w:r w:rsidR="000C4918">
        <w:t>.</w:t>
      </w:r>
    </w:p>
    <w:p w14:paraId="57A96DCC" w14:textId="6D6B5A81" w:rsidR="00D0068F" w:rsidRDefault="00441D6B" w:rsidP="00441D6B">
      <w:pPr>
        <w:pStyle w:val="Heading3"/>
        <w:numPr>
          <w:ilvl w:val="0"/>
          <w:numId w:val="21"/>
        </w:numPr>
      </w:pPr>
      <w:r>
        <w:t>If approving, forward e-mail back to original requester and appropriate Design Manager with your approval via e-mail.</w:t>
      </w:r>
    </w:p>
    <w:p w14:paraId="4A7BF4DC" w14:textId="2182506D" w:rsidR="00441D6B" w:rsidRPr="00441D6B" w:rsidRDefault="00441D6B" w:rsidP="00441D6B">
      <w:pPr>
        <w:pStyle w:val="Body3"/>
        <w:numPr>
          <w:ilvl w:val="0"/>
          <w:numId w:val="21"/>
        </w:numPr>
      </w:pPr>
      <w:r>
        <w:t>If rejecting, reply to requester and Design Manager with explanation.</w:t>
      </w:r>
    </w:p>
    <w:p w14:paraId="596E8B1A" w14:textId="77777777" w:rsidR="00D0068F" w:rsidRPr="00D0068F" w:rsidRDefault="00D0068F" w:rsidP="00D0068F">
      <w:pPr>
        <w:pStyle w:val="Body3"/>
      </w:pPr>
    </w:p>
    <w:p w14:paraId="6FB78A93" w14:textId="77777777" w:rsidR="00EE6572" w:rsidRPr="00556627" w:rsidRDefault="00EE6572" w:rsidP="00EE6572">
      <w:pPr>
        <w:pStyle w:val="Heading1"/>
      </w:pPr>
      <w:bookmarkStart w:id="12" w:name="_Toc346632910"/>
      <w:bookmarkStart w:id="13" w:name="_Toc81206399"/>
      <w:r w:rsidRPr="00556627">
        <w:t xml:space="preserve">Associated Quality Records – </w:t>
      </w:r>
      <w:r w:rsidRPr="009A457C">
        <w:rPr>
          <w:spacing w:val="-10"/>
        </w:rPr>
        <w:t>as stated in the Quality Records List</w:t>
      </w:r>
      <w:bookmarkEnd w:id="12"/>
      <w:bookmarkEnd w:id="1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EE6572" w:rsidRPr="004E6111" w14:paraId="57553785" w14:textId="77777777" w:rsidTr="000157F7">
        <w:trPr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4C25DB" w14:textId="77777777" w:rsidR="00EE6572" w:rsidRPr="00122212" w:rsidRDefault="00EE6572" w:rsidP="000157F7">
            <w:pPr>
              <w:widowControl w:val="0"/>
              <w:suppressAutoHyphens/>
              <w:spacing w:before="60" w:after="60"/>
              <w:jc w:val="center"/>
              <w:rPr>
                <w:b/>
              </w:rPr>
            </w:pPr>
            <w:r w:rsidRPr="00122212">
              <w:rPr>
                <w:b/>
              </w:rPr>
              <w:t>Required Record</w:t>
            </w:r>
          </w:p>
        </w:tc>
      </w:tr>
      <w:tr w:rsidR="00EE6572" w:rsidRPr="004E6111" w14:paraId="5B4DC340" w14:textId="77777777" w:rsidTr="000157F7">
        <w:trPr>
          <w:cantSplit/>
          <w:jc w:val="center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D7FB" w14:textId="7227F431" w:rsidR="00EE6572" w:rsidRDefault="00E0427A" w:rsidP="000157F7">
            <w:pPr>
              <w:widowControl w:val="0"/>
              <w:suppressAutoHyphens/>
              <w:spacing w:before="60" w:after="60"/>
            </w:pPr>
            <w:r>
              <w:t>ECN</w:t>
            </w:r>
          </w:p>
        </w:tc>
      </w:tr>
    </w:tbl>
    <w:p w14:paraId="6FEE4217" w14:textId="77777777" w:rsidR="00EE6572" w:rsidRPr="00421A54" w:rsidRDefault="00EE6572" w:rsidP="00EE6572">
      <w:pPr>
        <w:spacing w:before="160" w:after="120" w:line="276" w:lineRule="auto"/>
        <w:ind w:left="720"/>
      </w:pPr>
    </w:p>
    <w:p w14:paraId="226A5050" w14:textId="77777777" w:rsidR="00EE6572" w:rsidRPr="00556627" w:rsidRDefault="00EE6572" w:rsidP="00EE6572">
      <w:pPr>
        <w:pStyle w:val="Heading1"/>
      </w:pPr>
      <w:bookmarkStart w:id="14" w:name="_Toc81206400"/>
      <w:bookmarkStart w:id="15" w:name="_Toc346632911"/>
      <w:r w:rsidRPr="00556627">
        <w:t>Reference Forms / Templates / Documents</w:t>
      </w:r>
      <w:bookmarkEnd w:id="14"/>
      <w:r w:rsidRPr="00556627">
        <w:t xml:space="preserve"> </w:t>
      </w:r>
      <w:bookmarkEnd w:id="1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3675"/>
      </w:tblGrid>
      <w:tr w:rsidR="00EE6572" w:rsidRPr="004E6111" w14:paraId="5618C9BB" w14:textId="77777777" w:rsidTr="000157F7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6397CC86" w14:textId="77777777" w:rsidR="00EE6572" w:rsidRPr="00122212" w:rsidRDefault="00EE6572" w:rsidP="000157F7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b/>
              </w:rPr>
            </w:pPr>
            <w:r w:rsidRPr="00122212">
              <w:rPr>
                <w:b/>
              </w:rPr>
              <w:t>Form / Template / Document Title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518E2B1D" w14:textId="77777777" w:rsidR="00EE6572" w:rsidRPr="00122212" w:rsidRDefault="00EE6572" w:rsidP="000157F7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b/>
              </w:rPr>
            </w:pPr>
            <w:r w:rsidRPr="00122212">
              <w:rPr>
                <w:b/>
              </w:rPr>
              <w:t>Location</w:t>
            </w:r>
          </w:p>
        </w:tc>
      </w:tr>
      <w:tr w:rsidR="00DE50F3" w14:paraId="29F45DCB" w14:textId="77777777" w:rsidTr="000157F7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EEBE" w14:textId="601240F7" w:rsidR="00DE50F3" w:rsidRPr="008201C3" w:rsidRDefault="00D0068F" w:rsidP="00DE50F3">
            <w:pPr>
              <w:spacing w:before="60" w:after="60"/>
            </w:pPr>
            <w:r>
              <w:t xml:space="preserve">Drawing &amp; BOM </w:t>
            </w:r>
            <w:r w:rsidR="005E0A22">
              <w:t xml:space="preserve">Checking </w:t>
            </w:r>
            <w:r>
              <w:t>Work Instruction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6A066" w14:textId="13DE6CEC" w:rsidR="00DE50F3" w:rsidRPr="008201C3" w:rsidRDefault="000A16F2" w:rsidP="00DE50F3">
            <w:pPr>
              <w:spacing w:before="60" w:after="60"/>
            </w:pPr>
            <w:r>
              <w:t>MTS Quality Management System</w:t>
            </w:r>
          </w:p>
        </w:tc>
      </w:tr>
      <w:tr w:rsidR="000A16F2" w14:paraId="121FD7CE" w14:textId="77777777" w:rsidTr="000157F7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1420" w14:textId="4610BFB3" w:rsidR="000A16F2" w:rsidRPr="00C476C1" w:rsidRDefault="000A16F2" w:rsidP="000A16F2">
            <w:pPr>
              <w:spacing w:before="60" w:after="60"/>
            </w:pPr>
            <w:r>
              <w:t>ECM Process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E292" w14:textId="18D4AC68" w:rsidR="000A16F2" w:rsidRPr="00C476C1" w:rsidRDefault="000A16F2" w:rsidP="000A16F2">
            <w:pPr>
              <w:spacing w:before="60" w:after="60"/>
            </w:pPr>
            <w:r>
              <w:t>MTS Quality Management System</w:t>
            </w:r>
          </w:p>
        </w:tc>
      </w:tr>
    </w:tbl>
    <w:p w14:paraId="621870C7" w14:textId="77777777" w:rsidR="003009C8" w:rsidRDefault="003009C8" w:rsidP="003009C8">
      <w:r>
        <w:br w:type="page"/>
      </w:r>
    </w:p>
    <w:p w14:paraId="5EAB76A8" w14:textId="77777777" w:rsidR="00EE6572" w:rsidRDefault="00EE6572" w:rsidP="00EE6572">
      <w:pPr>
        <w:suppressAutoHyphens/>
      </w:pPr>
    </w:p>
    <w:p w14:paraId="72F3E83D" w14:textId="77777777" w:rsidR="00EE6572" w:rsidRPr="00556627" w:rsidRDefault="00EE6572" w:rsidP="00EE6572">
      <w:pPr>
        <w:pStyle w:val="Heading1"/>
      </w:pPr>
      <w:bookmarkStart w:id="16" w:name="_Toc346632912"/>
      <w:bookmarkStart w:id="17" w:name="_Toc81206401"/>
      <w:r w:rsidRPr="00556627">
        <w:t>Current Revision’s Training Requirements</w:t>
      </w:r>
      <w:bookmarkEnd w:id="16"/>
      <w:bookmarkEnd w:id="17"/>
    </w:p>
    <w:p w14:paraId="12216ADE" w14:textId="77777777" w:rsidR="00EE6572" w:rsidRDefault="00EE6572" w:rsidP="00EE6572">
      <w:pPr>
        <w:spacing w:before="120" w:after="60" w:line="276" w:lineRule="auto"/>
        <w:ind w:left="720"/>
        <w:rPr>
          <w:spacing w:val="-2"/>
        </w:rPr>
      </w:pPr>
      <w:r w:rsidRPr="0069388B">
        <w:rPr>
          <w:spacing w:val="-2"/>
        </w:rPr>
        <w:t>Training requirements are determined by the document owner</w:t>
      </w:r>
      <w:r>
        <w:rPr>
          <w:spacing w:val="-2"/>
        </w:rPr>
        <w:t>.</w:t>
      </w:r>
    </w:p>
    <w:p w14:paraId="270D801F" w14:textId="77777777" w:rsidR="00EE6572" w:rsidRDefault="00EE6572" w:rsidP="00EE6572">
      <w:pPr>
        <w:pStyle w:val="ListParagraph"/>
        <w:numPr>
          <w:ilvl w:val="0"/>
          <w:numId w:val="4"/>
        </w:numPr>
        <w:spacing w:before="60" w:after="60" w:line="276" w:lineRule="auto"/>
        <w:ind w:left="1498"/>
        <w:rPr>
          <w:spacing w:val="-2"/>
        </w:rPr>
      </w:pPr>
      <w:r>
        <w:rPr>
          <w:spacing w:val="-2"/>
        </w:rPr>
        <w:t>S</w:t>
      </w:r>
      <w:r w:rsidRPr="0069388B">
        <w:rPr>
          <w:spacing w:val="-2"/>
        </w:rPr>
        <w:t xml:space="preserve">elect Awareness </w:t>
      </w:r>
      <w:r w:rsidRPr="0069388B">
        <w:rPr>
          <w:b/>
          <w:spacing w:val="-2"/>
        </w:rPr>
        <w:t>and/or</w:t>
      </w:r>
      <w:r w:rsidRPr="0069388B">
        <w:rPr>
          <w:spacing w:val="-2"/>
        </w:rPr>
        <w:t xml:space="preserve"> For</w:t>
      </w:r>
      <w:r>
        <w:rPr>
          <w:spacing w:val="-2"/>
        </w:rPr>
        <w:t>mal training requirements.</w:t>
      </w:r>
    </w:p>
    <w:p w14:paraId="4BF8E4F3" w14:textId="77777777" w:rsidR="00EE6572" w:rsidRPr="0069388B" w:rsidRDefault="00EE6572" w:rsidP="00EE6572">
      <w:pPr>
        <w:pStyle w:val="ListParagraph"/>
        <w:numPr>
          <w:ilvl w:val="0"/>
          <w:numId w:val="4"/>
        </w:numPr>
        <w:spacing w:before="60" w:after="60" w:line="276" w:lineRule="auto"/>
        <w:ind w:left="1498"/>
        <w:rPr>
          <w:spacing w:val="-2"/>
        </w:rPr>
      </w:pPr>
      <w:r>
        <w:rPr>
          <w:spacing w:val="-2"/>
        </w:rPr>
        <w:t>List (below) the functions or groups that require the training.</w:t>
      </w:r>
    </w:p>
    <w:tbl>
      <w:tblPr>
        <w:tblW w:w="92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98"/>
        <w:gridCol w:w="5844"/>
      </w:tblGrid>
      <w:tr w:rsidR="00EE6572" w:rsidRPr="004E6111" w14:paraId="587A01BA" w14:textId="77777777" w:rsidTr="000157F7">
        <w:trPr>
          <w:cantSplit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26742741" w14:textId="77777777" w:rsidR="00EE6572" w:rsidRPr="00122212" w:rsidRDefault="00EE6572" w:rsidP="000157F7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b/>
              </w:rPr>
            </w:pPr>
            <w:r w:rsidRPr="00122212">
              <w:rPr>
                <w:b/>
              </w:rPr>
              <w:t xml:space="preserve">Select </w:t>
            </w:r>
          </w:p>
          <w:p w14:paraId="5112AE72" w14:textId="77777777" w:rsidR="00EE6572" w:rsidRPr="00122212" w:rsidRDefault="00EE6572" w:rsidP="000157F7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b/>
              </w:rPr>
            </w:pPr>
            <w:r w:rsidRPr="00122212">
              <w:rPr>
                <w:b/>
              </w:rPr>
              <w:t>(</w:t>
            </w:r>
            <w:proofErr w:type="gramStart"/>
            <w:r w:rsidRPr="00122212">
              <w:rPr>
                <w:b/>
              </w:rPr>
              <w:t>mark</w:t>
            </w:r>
            <w:proofErr w:type="gramEnd"/>
            <w:r w:rsidRPr="00122212">
              <w:rPr>
                <w:b/>
              </w:rPr>
              <w:t xml:space="preserve"> X)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54BB3057" w14:textId="77777777" w:rsidR="00EE6572" w:rsidRPr="00122212" w:rsidRDefault="00EE6572" w:rsidP="000157F7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b/>
              </w:rPr>
            </w:pPr>
            <w:r w:rsidRPr="00122212">
              <w:rPr>
                <w:b/>
              </w:rPr>
              <w:t>Training Type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2C3A6D25" w14:textId="77777777" w:rsidR="00EE6572" w:rsidRPr="00122212" w:rsidRDefault="00EE6572" w:rsidP="000157F7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b/>
              </w:rPr>
            </w:pPr>
            <w:r w:rsidRPr="00122212">
              <w:rPr>
                <w:b/>
              </w:rPr>
              <w:t>Training Definition</w:t>
            </w:r>
          </w:p>
        </w:tc>
      </w:tr>
      <w:tr w:rsidR="00EE6572" w:rsidRPr="00DA245B" w14:paraId="4F229274" w14:textId="77777777" w:rsidTr="000157F7">
        <w:trPr>
          <w:cantSplit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11BE1" w14:textId="3181D90C" w:rsidR="00EE6572" w:rsidRPr="00DA245B" w:rsidRDefault="00AD3AC3" w:rsidP="000157F7">
            <w:pPr>
              <w:widowControl w:val="0"/>
              <w:suppressAutoHyphens/>
              <w:spacing w:before="60" w:after="60"/>
              <w:ind w:left="90"/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76260" w14:textId="77777777"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</w:pPr>
            <w:r w:rsidRPr="00DA245B">
              <w:t>Awareness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5DC55" w14:textId="77777777"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</w:pPr>
            <w:r w:rsidRPr="00DA245B">
              <w:t xml:space="preserve">Awareness training is conducted by communication, which is sent/delivered by the approver/author/owner of the document to the affected employees/groups.  </w:t>
            </w:r>
          </w:p>
        </w:tc>
      </w:tr>
      <w:tr w:rsidR="00EE6572" w:rsidRPr="00DA245B" w14:paraId="04560A9D" w14:textId="77777777" w:rsidTr="000157F7">
        <w:trPr>
          <w:cantSplit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436E" w14:textId="1ADF1810" w:rsidR="00EE6572" w:rsidRPr="00DA245B" w:rsidRDefault="005C0A9F" w:rsidP="000157F7">
            <w:pPr>
              <w:widowControl w:val="0"/>
              <w:suppressAutoHyphens/>
              <w:spacing w:before="60" w:after="60"/>
              <w:ind w:left="90"/>
              <w:jc w:val="center"/>
              <w:rPr>
                <w:caps/>
              </w:rPr>
            </w:pPr>
            <w:r>
              <w:rPr>
                <w:caps/>
              </w:rPr>
              <w:t>X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C442" w14:textId="77777777"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</w:pPr>
            <w:r w:rsidRPr="00DA245B">
              <w:t>Formal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BDAA" w14:textId="77777777"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</w:pPr>
            <w:r w:rsidRPr="00DA245B">
              <w:t xml:space="preserve">Formal training requires the approver/author/owner to collect/store evidence that the affected employees/groups were trained.  </w:t>
            </w:r>
          </w:p>
        </w:tc>
      </w:tr>
    </w:tbl>
    <w:p w14:paraId="73E1D311" w14:textId="77777777" w:rsidR="008A3DBB" w:rsidRPr="0069388B" w:rsidRDefault="008A3DBB" w:rsidP="008A3DBB">
      <w:pPr>
        <w:suppressAutoHyphens/>
        <w:spacing w:before="60" w:after="80"/>
        <w:ind w:left="720"/>
        <w:rPr>
          <w:b/>
        </w:rPr>
      </w:pPr>
      <w:r w:rsidRPr="0069388B">
        <w:rPr>
          <w:b/>
        </w:rPr>
        <w:t xml:space="preserve">Functions/Groups that require </w:t>
      </w:r>
      <w:r>
        <w:rPr>
          <w:b/>
        </w:rPr>
        <w:t>Awareness to this procedure</w:t>
      </w:r>
      <w:r w:rsidRPr="0069388B">
        <w:rPr>
          <w:b/>
        </w:rPr>
        <w:t>:</w:t>
      </w:r>
    </w:p>
    <w:p w14:paraId="396B2F8F" w14:textId="46445E9B" w:rsidR="008A3DBB" w:rsidRDefault="008A3DBB" w:rsidP="008A3DBB">
      <w:pPr>
        <w:pStyle w:val="ListParagraph"/>
        <w:numPr>
          <w:ilvl w:val="0"/>
          <w:numId w:val="3"/>
        </w:numPr>
        <w:suppressAutoHyphens/>
        <w:spacing w:before="60" w:after="80"/>
      </w:pPr>
      <w:r w:rsidRPr="0069388B">
        <w:t>Awareness</w:t>
      </w:r>
      <w:r>
        <w:t xml:space="preserve">: </w:t>
      </w:r>
      <w:r w:rsidR="00AD3AC3">
        <w:t>CAD Admin</w:t>
      </w:r>
      <w:r w:rsidR="00006858">
        <w:t>istration</w:t>
      </w:r>
    </w:p>
    <w:p w14:paraId="600C4881" w14:textId="2538AE66" w:rsidR="008A3DBB" w:rsidRDefault="008A3DBB" w:rsidP="008A3DBB">
      <w:pPr>
        <w:pStyle w:val="ListParagraph"/>
        <w:numPr>
          <w:ilvl w:val="0"/>
          <w:numId w:val="3"/>
        </w:numPr>
        <w:suppressAutoHyphens/>
        <w:spacing w:before="60" w:after="80"/>
      </w:pPr>
      <w:r>
        <w:t xml:space="preserve">Formal: </w:t>
      </w:r>
      <w:r w:rsidR="00E0427A">
        <w:t>Mechanical Engineering, Electrical Engineering, Mechanical Design, Electrical Design</w:t>
      </w:r>
      <w:r w:rsidR="00FE1C55">
        <w:t>, Engineering Records Specialists</w:t>
      </w:r>
    </w:p>
    <w:p w14:paraId="5246689C" w14:textId="77777777" w:rsidR="00D35E41" w:rsidRDefault="00D35E41">
      <w:r>
        <w:br w:type="page"/>
      </w:r>
    </w:p>
    <w:p w14:paraId="72280A27" w14:textId="77777777" w:rsidR="00EE6572" w:rsidRDefault="00EE6572" w:rsidP="00EE6572"/>
    <w:p w14:paraId="051A6013" w14:textId="77777777" w:rsidR="00EE6572" w:rsidRPr="00556627" w:rsidRDefault="00EE6572" w:rsidP="00EE6572">
      <w:pPr>
        <w:pStyle w:val="Heading1"/>
      </w:pPr>
      <w:bookmarkStart w:id="18" w:name="_Toc346632913"/>
      <w:bookmarkStart w:id="19" w:name="_Toc81206402"/>
      <w:r w:rsidRPr="00556627">
        <w:t>Revision History &amp; Approval</w:t>
      </w:r>
      <w:bookmarkEnd w:id="18"/>
      <w:bookmarkEnd w:id="19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80"/>
        <w:gridCol w:w="1710"/>
        <w:gridCol w:w="1710"/>
      </w:tblGrid>
      <w:tr w:rsidR="00EE6572" w14:paraId="594C94D7" w14:textId="77777777" w:rsidTr="00565ECE">
        <w:trPr>
          <w:cantSplit/>
          <w:trHeight w:val="329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5FE46D93" w14:textId="77777777" w:rsidR="00EE6572" w:rsidRPr="00122212" w:rsidRDefault="00EE6572" w:rsidP="000157F7">
            <w:pPr>
              <w:widowControl w:val="0"/>
              <w:suppressAutoHyphens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Revision History</w:t>
            </w:r>
          </w:p>
        </w:tc>
      </w:tr>
      <w:tr w:rsidR="00EE6572" w14:paraId="6CE17030" w14:textId="77777777" w:rsidTr="00565ECE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69F6E048" w14:textId="77777777" w:rsidR="00EE6572" w:rsidRPr="00122212" w:rsidRDefault="00EE6572" w:rsidP="000157F7">
            <w:pPr>
              <w:widowControl w:val="0"/>
              <w:suppressAutoHyphens/>
              <w:spacing w:before="120" w:after="60"/>
              <w:jc w:val="center"/>
              <w:rPr>
                <w:b/>
              </w:rPr>
            </w:pPr>
            <w:r w:rsidRPr="00122212">
              <w:rPr>
                <w:b/>
              </w:rPr>
              <w:t>Rev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3F0724BD" w14:textId="77777777" w:rsidR="00EE6572" w:rsidRPr="00122212" w:rsidRDefault="00EE6572" w:rsidP="000157F7">
            <w:pPr>
              <w:widowControl w:val="0"/>
              <w:suppressAutoHyphens/>
              <w:spacing w:before="120" w:after="60"/>
              <w:jc w:val="center"/>
              <w:rPr>
                <w:b/>
              </w:rPr>
            </w:pPr>
            <w:r w:rsidRPr="00122212">
              <w:rPr>
                <w:b/>
              </w:rPr>
              <w:t>Description of Change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101946CC" w14:textId="77777777" w:rsidR="00EE6572" w:rsidRPr="00122212" w:rsidRDefault="00EE6572" w:rsidP="000157F7">
            <w:pPr>
              <w:widowControl w:val="0"/>
              <w:suppressAutoHyphens/>
              <w:spacing w:before="120" w:after="60"/>
              <w:jc w:val="center"/>
              <w:rPr>
                <w:b/>
              </w:rPr>
            </w:pPr>
            <w:r w:rsidRPr="00122212">
              <w:rPr>
                <w:b/>
              </w:rPr>
              <w:t>Author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34BDB54F" w14:textId="77777777" w:rsidR="00EE6572" w:rsidRPr="00122212" w:rsidRDefault="00EE6572" w:rsidP="000157F7">
            <w:pPr>
              <w:widowControl w:val="0"/>
              <w:suppressAutoHyphens/>
              <w:spacing w:before="60" w:after="60"/>
              <w:jc w:val="center"/>
              <w:rPr>
                <w:b/>
              </w:rPr>
            </w:pPr>
            <w:r w:rsidRPr="00122212">
              <w:rPr>
                <w:b/>
              </w:rPr>
              <w:t>Effective Date</w:t>
            </w:r>
          </w:p>
        </w:tc>
      </w:tr>
      <w:tr w:rsidR="00F53AAC" w:rsidRPr="00DA245B" w14:paraId="580EB572" w14:textId="77777777" w:rsidTr="00565ECE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CF23" w14:textId="0B7EB80E" w:rsidR="00F53AAC" w:rsidRDefault="007924AD" w:rsidP="00634D31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2231" w14:textId="578D29E7" w:rsidR="00F53AAC" w:rsidRDefault="007924AD" w:rsidP="00634D31">
            <w:pPr>
              <w:widowControl w:val="0"/>
              <w:suppressAutoHyphens/>
              <w:spacing w:before="60" w:after="60"/>
              <w:ind w:left="90"/>
            </w:pPr>
            <w:r>
              <w:t>Initial Release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9FA5" w14:textId="4B96D94F" w:rsidR="00F53AAC" w:rsidRDefault="007924AD" w:rsidP="00634D31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J. Gunderson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61B9" w14:textId="5E4FF3AE" w:rsidR="00F53AAC" w:rsidRDefault="00BC458C" w:rsidP="00634D31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12/21/2021</w:t>
            </w:r>
          </w:p>
        </w:tc>
      </w:tr>
      <w:tr w:rsidR="00FC18FE" w:rsidRPr="00DA245B" w14:paraId="52377833" w14:textId="77777777" w:rsidTr="00565ECE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BBF1" w14:textId="77777777" w:rsidR="00FC18FE" w:rsidRPr="00DA245B" w:rsidRDefault="00FC18FE" w:rsidP="003B1DF0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EB1C" w14:textId="77777777" w:rsidR="00E75971" w:rsidRPr="00DA245B" w:rsidRDefault="00E75971" w:rsidP="003B1DF0">
            <w:pPr>
              <w:widowControl w:val="0"/>
              <w:suppressAutoHyphens/>
              <w:spacing w:before="60" w:after="60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73DB" w14:textId="77777777" w:rsidR="00FC18FE" w:rsidRPr="00DA245B" w:rsidRDefault="00FC18FE" w:rsidP="002E3D04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5493" w14:textId="77777777" w:rsidR="00FC18FE" w:rsidRPr="00DA245B" w:rsidRDefault="00FC18FE" w:rsidP="00593ED0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  <w:tr w:rsidR="00EE6572" w:rsidRPr="00DA245B" w14:paraId="443256BC" w14:textId="77777777" w:rsidTr="00565ECE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0C7A" w14:textId="77777777"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76E5" w14:textId="77777777"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E91C" w14:textId="77777777"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C0AC" w14:textId="77777777"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</w:tbl>
    <w:p w14:paraId="5A363260" w14:textId="77777777" w:rsidR="00EE6572" w:rsidRPr="00DA245B" w:rsidRDefault="00EE6572" w:rsidP="00EE6572">
      <w:pPr>
        <w:spacing w:before="60" w:after="60"/>
        <w:ind w:left="720"/>
      </w:pPr>
    </w:p>
    <w:tbl>
      <w:tblPr>
        <w:tblW w:w="4853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97"/>
        <w:gridCol w:w="4028"/>
        <w:gridCol w:w="2643"/>
      </w:tblGrid>
      <w:tr w:rsidR="00EE6572" w:rsidRPr="004E6111" w14:paraId="28AADB45" w14:textId="77777777" w:rsidTr="00D35E41">
        <w:trPr>
          <w:cantSplit/>
          <w:trHeight w:val="32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6C378309" w14:textId="77777777" w:rsidR="00EE6572" w:rsidRPr="00122212" w:rsidRDefault="00EE6572" w:rsidP="000157F7">
            <w:pPr>
              <w:widowControl w:val="0"/>
              <w:suppressAutoHyphens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Approval of Current Revision</w:t>
            </w:r>
          </w:p>
        </w:tc>
      </w:tr>
      <w:tr w:rsidR="00EE6572" w:rsidRPr="004E6111" w14:paraId="6A753B0E" w14:textId="77777777" w:rsidTr="00FC18FE">
        <w:trPr>
          <w:cantSplit/>
          <w:trHeight w:val="665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3DAAA83B" w14:textId="77777777" w:rsidR="00EE6572" w:rsidRPr="00122212" w:rsidRDefault="00EE6572" w:rsidP="000157F7">
            <w:pPr>
              <w:widowControl w:val="0"/>
              <w:suppressAutoHyphens/>
              <w:spacing w:before="120" w:after="60"/>
              <w:jc w:val="center"/>
              <w:rPr>
                <w:b/>
              </w:rPr>
            </w:pPr>
            <w:r w:rsidRPr="00122212">
              <w:rPr>
                <w:b/>
              </w:rPr>
              <w:t>Name / Function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5704A1D2" w14:textId="77777777" w:rsidR="00EE6572" w:rsidRPr="00122212" w:rsidRDefault="00EE6572" w:rsidP="000157F7">
            <w:pPr>
              <w:widowControl w:val="0"/>
              <w:suppressAutoHyphens/>
              <w:spacing w:before="120" w:after="60"/>
              <w:jc w:val="center"/>
              <w:rPr>
                <w:b/>
              </w:rPr>
            </w:pPr>
            <w:r w:rsidRPr="00122212">
              <w:rPr>
                <w:b/>
              </w:rPr>
              <w:t>Signature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67C0CC94" w14:textId="77777777" w:rsidR="00EE6572" w:rsidRPr="00122212" w:rsidRDefault="00EE6572" w:rsidP="000157F7">
            <w:pPr>
              <w:widowControl w:val="0"/>
              <w:suppressAutoHyphens/>
              <w:spacing w:before="60" w:after="60"/>
              <w:jc w:val="center"/>
              <w:rPr>
                <w:b/>
              </w:rPr>
            </w:pPr>
            <w:r w:rsidRPr="00122212">
              <w:rPr>
                <w:b/>
              </w:rPr>
              <w:t>Date</w:t>
            </w:r>
          </w:p>
        </w:tc>
      </w:tr>
      <w:tr w:rsidR="00FC18FE" w:rsidRPr="00DA245B" w14:paraId="0ED10FBD" w14:textId="77777777" w:rsidTr="00FC18FE">
        <w:trPr>
          <w:cantSplit/>
          <w:trHeight w:val="384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7A81" w14:textId="7A927563" w:rsidR="00FC18FE" w:rsidRPr="00DA245B" w:rsidRDefault="00C21B14" w:rsidP="00DA2D5D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Marvin Westermann/Director-Solutions Engineering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685A" w14:textId="77777777" w:rsidR="00FC18FE" w:rsidRPr="00DA245B" w:rsidRDefault="00FC18FE" w:rsidP="000157F7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1519" w14:textId="77777777" w:rsidR="00FC18FE" w:rsidRPr="00DA245B" w:rsidRDefault="00FC18FE" w:rsidP="00FC18FE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  <w:tr w:rsidR="00FC18FE" w:rsidRPr="00DA245B" w14:paraId="2738E7A1" w14:textId="77777777" w:rsidTr="00FC18FE">
        <w:trPr>
          <w:cantSplit/>
          <w:trHeight w:val="384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7AC0" w14:textId="77777777" w:rsidR="00FC18FE" w:rsidRDefault="00294E57" w:rsidP="002E3D04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Tom Kilinski</w:t>
            </w:r>
            <w:r w:rsidR="00530CD3">
              <w:t xml:space="preserve"> / Director-</w:t>
            </w:r>
          </w:p>
          <w:p w14:paraId="05558D38" w14:textId="10B4B6D1" w:rsidR="00530CD3" w:rsidRPr="00DA245B" w:rsidRDefault="00530CD3" w:rsidP="002E3D04">
            <w:pPr>
              <w:widowControl w:val="0"/>
              <w:suppressAutoHyphens/>
              <w:spacing w:before="60" w:after="60"/>
              <w:ind w:left="90"/>
              <w:jc w:val="center"/>
            </w:pPr>
            <w:r>
              <w:t>Systems Engineering/ERC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62BA" w14:textId="77777777" w:rsidR="00FC18FE" w:rsidRPr="00DA245B" w:rsidRDefault="00FC18FE" w:rsidP="000157F7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5B0E" w14:textId="77777777" w:rsidR="00FC18FE" w:rsidRPr="00DA245B" w:rsidRDefault="00FC18FE" w:rsidP="00FC18FE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  <w:tr w:rsidR="00EE6572" w:rsidRPr="00DA245B" w14:paraId="6B3DF1AB" w14:textId="77777777" w:rsidTr="00FC18FE">
        <w:trPr>
          <w:cantSplit/>
          <w:trHeight w:val="384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C02A" w14:textId="77777777"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D956" w14:textId="77777777"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760F" w14:textId="77777777" w:rsidR="00EE6572" w:rsidRPr="00DA245B" w:rsidRDefault="00EE6572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  <w:tr w:rsidR="00DA2D5D" w:rsidRPr="00DA245B" w14:paraId="17D1497B" w14:textId="77777777" w:rsidTr="00FC18FE">
        <w:trPr>
          <w:cantSplit/>
          <w:trHeight w:val="384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0D41" w14:textId="77777777" w:rsidR="00DA2D5D" w:rsidRDefault="00DA2D5D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5240" w14:textId="77777777" w:rsidR="00DA2D5D" w:rsidRPr="00DA245B" w:rsidRDefault="00DA2D5D" w:rsidP="000157F7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40B6" w14:textId="77777777" w:rsidR="00DA2D5D" w:rsidRPr="00DA245B" w:rsidRDefault="00DA2D5D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  <w:tr w:rsidR="00BA5A9B" w:rsidRPr="00DA245B" w14:paraId="7C82D604" w14:textId="77777777" w:rsidTr="00FC18FE">
        <w:trPr>
          <w:cantSplit/>
          <w:trHeight w:val="384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B279" w14:textId="77777777" w:rsidR="00BA5A9B" w:rsidRDefault="00BA5A9B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AE0A" w14:textId="77777777" w:rsidR="00BA5A9B" w:rsidRPr="00DA245B" w:rsidRDefault="00BA5A9B" w:rsidP="000157F7">
            <w:pPr>
              <w:widowControl w:val="0"/>
              <w:suppressAutoHyphens/>
              <w:spacing w:before="60" w:after="60"/>
              <w:ind w:left="90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868F" w14:textId="77777777" w:rsidR="00BA5A9B" w:rsidRPr="00DA245B" w:rsidRDefault="00BA5A9B" w:rsidP="000157F7">
            <w:pPr>
              <w:widowControl w:val="0"/>
              <w:suppressAutoHyphens/>
              <w:spacing w:before="60" w:after="60"/>
              <w:ind w:left="90"/>
              <w:jc w:val="center"/>
            </w:pPr>
          </w:p>
        </w:tc>
      </w:tr>
    </w:tbl>
    <w:p w14:paraId="42594EE4" w14:textId="77777777" w:rsidR="00EE6572" w:rsidRPr="00464783" w:rsidRDefault="00EE6572" w:rsidP="00EE6572">
      <w:pPr>
        <w:ind w:left="720"/>
        <w:rPr>
          <w:sz w:val="4"/>
        </w:rPr>
      </w:pPr>
    </w:p>
    <w:p w14:paraId="773448FB" w14:textId="77777777" w:rsidR="00E20DFD" w:rsidRPr="00464783" w:rsidRDefault="00E20DFD" w:rsidP="00120E56">
      <w:pPr>
        <w:ind w:left="720"/>
        <w:rPr>
          <w:sz w:val="4"/>
        </w:rPr>
      </w:pPr>
    </w:p>
    <w:sectPr w:rsidR="00E20DFD" w:rsidRPr="00464783" w:rsidSect="00B20F0A">
      <w:headerReference w:type="default" r:id="rId11"/>
      <w:footerReference w:type="default" r:id="rId12"/>
      <w:footnotePr>
        <w:numFmt w:val="lowerRoman"/>
      </w:footnotePr>
      <w:endnotePr>
        <w:numFmt w:val="decimal"/>
      </w:endnotePr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A916" w14:textId="77777777" w:rsidR="00147AE3" w:rsidRDefault="00147AE3">
      <w:r>
        <w:separator/>
      </w:r>
    </w:p>
    <w:p w14:paraId="23B28EF4" w14:textId="77777777" w:rsidR="00147AE3" w:rsidRDefault="00147AE3"/>
    <w:p w14:paraId="1422F7F1" w14:textId="77777777" w:rsidR="00147AE3" w:rsidRDefault="00147AE3" w:rsidP="00F406FB"/>
  </w:endnote>
  <w:endnote w:type="continuationSeparator" w:id="0">
    <w:p w14:paraId="241494EA" w14:textId="77777777" w:rsidR="00147AE3" w:rsidRDefault="00147AE3">
      <w:r>
        <w:continuationSeparator/>
      </w:r>
    </w:p>
    <w:p w14:paraId="44A19EE3" w14:textId="77777777" w:rsidR="00147AE3" w:rsidRDefault="00147AE3"/>
    <w:p w14:paraId="0759480E" w14:textId="77777777" w:rsidR="00147AE3" w:rsidRDefault="00147AE3" w:rsidP="00F40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0E86" w14:textId="375F8838" w:rsidR="000157F7" w:rsidRDefault="000157F7" w:rsidP="005F28E4">
    <w:pPr>
      <w:pBdr>
        <w:top w:val="single" w:sz="6" w:space="1" w:color="auto"/>
      </w:pBdr>
      <w:jc w:val="center"/>
      <w:rPr>
        <w:b/>
        <w:sz w:val="16"/>
      </w:rPr>
    </w:pPr>
    <w:r>
      <w:rPr>
        <w:b/>
        <w:sz w:val="16"/>
      </w:rPr>
      <w:t>VERIFY REVISION BEFORE USE</w:t>
    </w:r>
    <w:r>
      <w:rPr>
        <w:b/>
        <w:sz w:val="16"/>
      </w:rPr>
      <w:tab/>
      <w:t xml:space="preserve">PRINTED COPY IS </w:t>
    </w:r>
    <w:r w:rsidRPr="00AA298E">
      <w:rPr>
        <w:b/>
        <w:sz w:val="16"/>
      </w:rPr>
      <w:t>NOT CONTROLLED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Print date: </w:t>
    </w:r>
    <w:r>
      <w:rPr>
        <w:b/>
        <w:sz w:val="16"/>
      </w:rPr>
      <w:fldChar w:fldCharType="begin"/>
    </w:r>
    <w:r>
      <w:rPr>
        <w:b/>
        <w:sz w:val="16"/>
      </w:rPr>
      <w:instrText xml:space="preserve"> DATE \@ "M/d/yy" </w:instrText>
    </w:r>
    <w:r>
      <w:rPr>
        <w:b/>
        <w:sz w:val="16"/>
      </w:rPr>
      <w:fldChar w:fldCharType="separate"/>
    </w:r>
    <w:r w:rsidR="002126B1">
      <w:rPr>
        <w:b/>
        <w:noProof/>
        <w:sz w:val="16"/>
      </w:rPr>
      <w:t>1/6/22</w:t>
    </w:r>
    <w:r>
      <w:rPr>
        <w:b/>
        <w:sz w:val="16"/>
      </w:rPr>
      <w:fldChar w:fldCharType="end"/>
    </w:r>
  </w:p>
  <w:p w14:paraId="7888DA42" w14:textId="77777777" w:rsidR="000157F7" w:rsidRPr="005F28E4" w:rsidRDefault="000157F7" w:rsidP="005F28E4">
    <w:pPr>
      <w:pBdr>
        <w:top w:val="single" w:sz="6" w:space="1" w:color="auto"/>
      </w:pBdr>
      <w:jc w:val="center"/>
      <w:rPr>
        <w:b/>
        <w:sz w:val="18"/>
      </w:rPr>
    </w:pPr>
    <w:r>
      <w:rPr>
        <w:b/>
        <w:i/>
        <w:color w:val="FF0000"/>
        <w:sz w:val="18"/>
      </w:rPr>
      <w:t>Proprietary – Use pursuant to instruction per MTS Systems Corporation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F623" w14:textId="77777777" w:rsidR="00147AE3" w:rsidRDefault="00147AE3">
      <w:r>
        <w:separator/>
      </w:r>
    </w:p>
    <w:p w14:paraId="47995356" w14:textId="77777777" w:rsidR="00147AE3" w:rsidRDefault="00147AE3"/>
    <w:p w14:paraId="601EF40A" w14:textId="77777777" w:rsidR="00147AE3" w:rsidRDefault="00147AE3" w:rsidP="00F406FB"/>
  </w:footnote>
  <w:footnote w:type="continuationSeparator" w:id="0">
    <w:p w14:paraId="71BA3D12" w14:textId="77777777" w:rsidR="00147AE3" w:rsidRDefault="00147AE3">
      <w:r>
        <w:continuationSeparator/>
      </w:r>
    </w:p>
    <w:p w14:paraId="10C5D334" w14:textId="77777777" w:rsidR="00147AE3" w:rsidRDefault="00147AE3"/>
    <w:p w14:paraId="10442884" w14:textId="77777777" w:rsidR="00147AE3" w:rsidRDefault="00147AE3" w:rsidP="00F406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shd w:val="clear" w:color="auto" w:fill="8DB3E2"/>
      <w:tblLayout w:type="fixed"/>
      <w:tblLook w:val="0000" w:firstRow="0" w:lastRow="0" w:firstColumn="0" w:lastColumn="0" w:noHBand="0" w:noVBand="0"/>
    </w:tblPr>
    <w:tblGrid>
      <w:gridCol w:w="1485"/>
      <w:gridCol w:w="4860"/>
      <w:gridCol w:w="1755"/>
      <w:gridCol w:w="2048"/>
    </w:tblGrid>
    <w:tr w:rsidR="008A3DBB" w14:paraId="20D4F6F9" w14:textId="77777777" w:rsidTr="00C86EDA">
      <w:trPr>
        <w:cantSplit/>
        <w:jc w:val="center"/>
      </w:trPr>
      <w:tc>
        <w:tcPr>
          <w:tcW w:w="1485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shd w:val="clear" w:color="auto" w:fill="8DB3E2"/>
          <w:vAlign w:val="center"/>
        </w:tcPr>
        <w:p w14:paraId="16E00418" w14:textId="77777777" w:rsidR="008A3DBB" w:rsidRDefault="008A3DBB" w:rsidP="009A5A8F">
          <w:pPr>
            <w:jc w:val="center"/>
          </w:pPr>
          <w:r>
            <w:rPr>
              <w:noProof/>
            </w:rPr>
            <w:drawing>
              <wp:inline distT="0" distB="0" distL="0" distR="0" wp14:anchorId="359C8E64" wp14:editId="520F5EAE">
                <wp:extent cx="616585" cy="382905"/>
                <wp:effectExtent l="0" t="0" r="0" b="0"/>
                <wp:docPr id="5" name="Picture 1" descr="M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tcBorders>
            <w:top w:val="single" w:sz="12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8DB3E2"/>
        </w:tcPr>
        <w:p w14:paraId="2B09DA6C" w14:textId="77777777" w:rsidR="008A3DBB" w:rsidRPr="009A457C" w:rsidRDefault="008A3DBB" w:rsidP="009222D3">
          <w:pPr>
            <w:spacing w:before="60" w:after="80"/>
            <w:jc w:val="center"/>
            <w:rPr>
              <w:b/>
            </w:rPr>
          </w:pPr>
          <w:r w:rsidRPr="009A457C">
            <w:rPr>
              <w:b/>
            </w:rPr>
            <w:t xml:space="preserve">QMS </w:t>
          </w:r>
          <w:r>
            <w:rPr>
              <w:b/>
            </w:rPr>
            <w:t>Procedure</w:t>
          </w:r>
        </w:p>
        <w:p w14:paraId="340D2293" w14:textId="77777777" w:rsidR="008A3DBB" w:rsidRPr="004E6111" w:rsidRDefault="008A3DBB" w:rsidP="009222D3">
          <w:pPr>
            <w:spacing w:before="60" w:after="80"/>
            <w:jc w:val="center"/>
            <w:rPr>
              <w:b/>
              <w:sz w:val="28"/>
            </w:rPr>
          </w:pPr>
          <w:r w:rsidRPr="009A457C">
            <w:rPr>
              <w:b/>
            </w:rPr>
            <w:t>MTS Systems Corporation – MTS Test</w:t>
          </w:r>
        </w:p>
      </w:tc>
      <w:tc>
        <w:tcPr>
          <w:tcW w:w="1755" w:type="dxa"/>
          <w:tcBorders>
            <w:top w:val="single" w:sz="12" w:space="0" w:color="auto"/>
            <w:left w:val="nil"/>
            <w:bottom w:val="nil"/>
            <w:right w:val="single" w:sz="6" w:space="0" w:color="auto"/>
          </w:tcBorders>
          <w:shd w:val="clear" w:color="auto" w:fill="8DB3E2"/>
        </w:tcPr>
        <w:p w14:paraId="76F423DC" w14:textId="77777777" w:rsidR="008A3DBB" w:rsidRPr="009A457C" w:rsidRDefault="008A3DBB" w:rsidP="009222D3">
          <w:pPr>
            <w:spacing w:before="120"/>
            <w:rPr>
              <w:sz w:val="14"/>
              <w:szCs w:val="14"/>
            </w:rPr>
          </w:pPr>
          <w:r w:rsidRPr="009A457C">
            <w:rPr>
              <w:b/>
              <w:sz w:val="14"/>
              <w:szCs w:val="14"/>
            </w:rPr>
            <w:t>Document Number:</w:t>
          </w:r>
        </w:p>
        <w:p w14:paraId="0F10B38C" w14:textId="77777777" w:rsidR="008A3DBB" w:rsidRPr="0069715D" w:rsidRDefault="008A3DBB" w:rsidP="009222D3">
          <w:pPr>
            <w:spacing w:before="120"/>
            <w:jc w:val="center"/>
            <w:rPr>
              <w:b/>
              <w:spacing w:val="-6"/>
            </w:rPr>
          </w:pPr>
          <w:r w:rsidRPr="0069715D">
            <w:rPr>
              <w:b/>
              <w:spacing w:val="-6"/>
            </w:rPr>
            <w:t>N/A</w:t>
          </w:r>
        </w:p>
      </w:tc>
      <w:tc>
        <w:tcPr>
          <w:tcW w:w="2048" w:type="dxa"/>
          <w:tcBorders>
            <w:top w:val="single" w:sz="12" w:space="0" w:color="auto"/>
            <w:left w:val="single" w:sz="6" w:space="0" w:color="auto"/>
            <w:bottom w:val="nil"/>
            <w:right w:val="single" w:sz="12" w:space="0" w:color="auto"/>
          </w:tcBorders>
          <w:shd w:val="clear" w:color="auto" w:fill="8DB3E2"/>
        </w:tcPr>
        <w:p w14:paraId="0EC4C8D2" w14:textId="77777777" w:rsidR="008A3DBB" w:rsidRPr="009A457C" w:rsidRDefault="008A3DBB" w:rsidP="009222D3">
          <w:pPr>
            <w:spacing w:before="120"/>
            <w:rPr>
              <w:b/>
              <w:sz w:val="14"/>
              <w:szCs w:val="14"/>
            </w:rPr>
          </w:pPr>
          <w:r w:rsidRPr="009A457C">
            <w:rPr>
              <w:b/>
              <w:sz w:val="14"/>
              <w:szCs w:val="14"/>
            </w:rPr>
            <w:t>Rev.:</w:t>
          </w:r>
        </w:p>
        <w:p w14:paraId="2E58D44A" w14:textId="470047CB" w:rsidR="008A3DBB" w:rsidRPr="00B20F0A" w:rsidRDefault="00EF4B1B" w:rsidP="009222D3">
          <w:pPr>
            <w:spacing w:before="120"/>
            <w:jc w:val="center"/>
            <w:rPr>
              <w:b/>
            </w:rPr>
          </w:pPr>
          <w:r>
            <w:rPr>
              <w:b/>
            </w:rPr>
            <w:t>A</w:t>
          </w:r>
        </w:p>
      </w:tc>
    </w:tr>
    <w:tr w:rsidR="008A3DBB" w14:paraId="70F9F735" w14:textId="77777777" w:rsidTr="00C86EDA">
      <w:trPr>
        <w:cantSplit/>
        <w:jc w:val="center"/>
      </w:trPr>
      <w:tc>
        <w:tcPr>
          <w:tcW w:w="634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</w:tcPr>
        <w:p w14:paraId="25136B00" w14:textId="77777777" w:rsidR="008A3DBB" w:rsidRPr="00B20F0A" w:rsidRDefault="008A3DBB" w:rsidP="009222D3">
          <w:pPr>
            <w:widowControl w:val="0"/>
            <w:suppressAutoHyphens/>
            <w:spacing w:before="60"/>
            <w:ind w:right="-274"/>
            <w:rPr>
              <w:sz w:val="14"/>
              <w:szCs w:val="14"/>
            </w:rPr>
          </w:pPr>
          <w:r w:rsidRPr="00B20F0A">
            <w:rPr>
              <w:b/>
              <w:sz w:val="14"/>
              <w:szCs w:val="14"/>
            </w:rPr>
            <w:t>Title</w:t>
          </w:r>
          <w:r w:rsidRPr="00B20F0A">
            <w:rPr>
              <w:sz w:val="14"/>
              <w:szCs w:val="14"/>
            </w:rPr>
            <w:t>:</w:t>
          </w:r>
        </w:p>
        <w:p w14:paraId="74FCAFD8" w14:textId="4A375BFE" w:rsidR="008A3DBB" w:rsidRPr="009A457C" w:rsidRDefault="00314DF8" w:rsidP="009222D3">
          <w:pPr>
            <w:widowControl w:val="0"/>
            <w:suppressAutoHyphens/>
            <w:spacing w:before="60" w:after="80"/>
            <w:ind w:right="-274"/>
            <w:jc w:val="center"/>
            <w:rPr>
              <w:b/>
            </w:rPr>
          </w:pPr>
          <w:r>
            <w:rPr>
              <w:b/>
            </w:rPr>
            <w:t>Engineering Drawing</w:t>
          </w:r>
          <w:r w:rsidR="00BA76E4">
            <w:rPr>
              <w:b/>
            </w:rPr>
            <w:t xml:space="preserve"> Redraw Procedure</w:t>
          </w:r>
        </w:p>
      </w:tc>
      <w:tc>
        <w:tcPr>
          <w:tcW w:w="38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</w:tcPr>
        <w:p w14:paraId="1CF2F14D" w14:textId="77777777" w:rsidR="00D93121" w:rsidRDefault="00D93121" w:rsidP="00184012">
          <w:pPr>
            <w:spacing w:before="60"/>
            <w:ind w:right="-274"/>
            <w:rPr>
              <w:sz w:val="14"/>
            </w:rPr>
          </w:pPr>
          <w:r>
            <w:rPr>
              <w:sz w:val="14"/>
            </w:rPr>
            <w:t>Page #:</w:t>
          </w:r>
        </w:p>
        <w:p w14:paraId="2F1FC5F4" w14:textId="77777777" w:rsidR="008A3DBB" w:rsidRPr="009A457C" w:rsidRDefault="00D93121" w:rsidP="00D93121">
          <w:pPr>
            <w:widowControl w:val="0"/>
            <w:suppressAutoHyphens/>
            <w:spacing w:before="60" w:after="80"/>
            <w:ind w:right="-274"/>
            <w:jc w:val="center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PAGE </w:instrText>
          </w:r>
          <w:r>
            <w:rPr>
              <w:b/>
            </w:rPr>
            <w:fldChar w:fldCharType="separate"/>
          </w:r>
          <w:r w:rsidR="00184012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of </w:t>
          </w:r>
          <w:r>
            <w:rPr>
              <w:rStyle w:val="PageNumber"/>
              <w:b/>
            </w:rPr>
            <w:fldChar w:fldCharType="begin"/>
          </w:r>
          <w:r>
            <w:rPr>
              <w:rStyle w:val="PageNumber"/>
              <w:b/>
            </w:rPr>
            <w:instrText xml:space="preserve"> NUMPAGES </w:instrText>
          </w:r>
          <w:r>
            <w:rPr>
              <w:rStyle w:val="PageNumber"/>
              <w:b/>
            </w:rPr>
            <w:fldChar w:fldCharType="separate"/>
          </w:r>
          <w:r w:rsidR="00184012">
            <w:rPr>
              <w:rStyle w:val="PageNumber"/>
              <w:b/>
              <w:noProof/>
            </w:rPr>
            <w:t>4</w:t>
          </w:r>
          <w:r>
            <w:rPr>
              <w:rStyle w:val="PageNumber"/>
              <w:b/>
            </w:rPr>
            <w:fldChar w:fldCharType="end"/>
          </w:r>
        </w:p>
      </w:tc>
    </w:tr>
    <w:tr w:rsidR="008A3DBB" w:rsidRPr="004E6111" w14:paraId="1A7995D3" w14:textId="77777777" w:rsidTr="00C86EDA">
      <w:trPr>
        <w:cantSplit/>
        <w:jc w:val="center"/>
      </w:trPr>
      <w:tc>
        <w:tcPr>
          <w:tcW w:w="634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</w:tcPr>
        <w:p w14:paraId="408D96BA" w14:textId="77777777" w:rsidR="008A3DBB" w:rsidRPr="00B20F0A" w:rsidRDefault="008A3DBB" w:rsidP="009222D3">
          <w:pPr>
            <w:widowControl w:val="0"/>
            <w:suppressAutoHyphens/>
            <w:spacing w:before="60"/>
            <w:ind w:right="-274"/>
            <w:rPr>
              <w:sz w:val="14"/>
              <w:szCs w:val="14"/>
            </w:rPr>
          </w:pPr>
          <w:r>
            <w:rPr>
              <w:b/>
              <w:sz w:val="14"/>
            </w:rPr>
            <w:t xml:space="preserve">Procedure Owner(s) – list </w:t>
          </w:r>
          <w:r>
            <w:rPr>
              <w:b/>
              <w:sz w:val="14"/>
              <w:szCs w:val="14"/>
            </w:rPr>
            <w:t>F</w:t>
          </w:r>
          <w:r w:rsidRPr="00B20F0A">
            <w:rPr>
              <w:b/>
              <w:sz w:val="14"/>
              <w:szCs w:val="14"/>
            </w:rPr>
            <w:t>unctions:</w:t>
          </w:r>
        </w:p>
        <w:p w14:paraId="12DC3BC2" w14:textId="5AA4E4F2" w:rsidR="008A3DBB" w:rsidRPr="009A457C" w:rsidRDefault="008A3DBB" w:rsidP="009222D3">
          <w:pPr>
            <w:widowControl w:val="0"/>
            <w:suppressAutoHyphens/>
            <w:spacing w:before="60" w:after="80"/>
            <w:ind w:left="374" w:right="-274"/>
            <w:rPr>
              <w:b/>
            </w:rPr>
          </w:pPr>
          <w:r>
            <w:rPr>
              <w:b/>
            </w:rPr>
            <w:t>Engineering</w:t>
          </w:r>
        </w:p>
      </w:tc>
      <w:tc>
        <w:tcPr>
          <w:tcW w:w="38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</w:tcPr>
        <w:p w14:paraId="25ED4151" w14:textId="77777777" w:rsidR="008A3DBB" w:rsidRPr="009A457C" w:rsidRDefault="008A3DBB" w:rsidP="00B20F0A">
          <w:pPr>
            <w:spacing w:before="60"/>
            <w:ind w:right="-274"/>
            <w:rPr>
              <w:sz w:val="14"/>
              <w:szCs w:val="14"/>
            </w:rPr>
          </w:pPr>
          <w:r w:rsidRPr="009A457C">
            <w:rPr>
              <w:sz w:val="14"/>
              <w:szCs w:val="14"/>
            </w:rPr>
            <w:t>Revision’s Training Requirements – select one</w:t>
          </w:r>
          <w:r>
            <w:rPr>
              <w:sz w:val="14"/>
              <w:szCs w:val="14"/>
            </w:rPr>
            <w:t xml:space="preserve"> or both</w:t>
          </w:r>
          <w:r w:rsidRPr="009A457C">
            <w:rPr>
              <w:sz w:val="14"/>
              <w:szCs w:val="14"/>
            </w:rPr>
            <w:t xml:space="preserve"> </w:t>
          </w:r>
        </w:p>
        <w:p w14:paraId="19EF90FA" w14:textId="77777777" w:rsidR="008A3DBB" w:rsidRPr="009A457C" w:rsidRDefault="008A3DBB">
          <w:pPr>
            <w:ind w:right="-270"/>
            <w:rPr>
              <w:sz w:val="14"/>
              <w:szCs w:val="14"/>
            </w:rPr>
          </w:pPr>
          <w:r w:rsidRPr="009A457C">
            <w:rPr>
              <w:sz w:val="14"/>
              <w:szCs w:val="14"/>
            </w:rPr>
            <w:t>(</w:t>
          </w:r>
          <w:proofErr w:type="gramStart"/>
          <w:r w:rsidRPr="009A457C">
            <w:rPr>
              <w:sz w:val="14"/>
              <w:szCs w:val="14"/>
            </w:rPr>
            <w:t>per</w:t>
          </w:r>
          <w:proofErr w:type="gramEnd"/>
          <w:r w:rsidRPr="009A457C">
            <w:rPr>
              <w:sz w:val="14"/>
              <w:szCs w:val="14"/>
            </w:rPr>
            <w:t xml:space="preserve"> section #9):</w:t>
          </w:r>
        </w:p>
        <w:p w14:paraId="1699846A" w14:textId="30AD2470" w:rsidR="008A3DBB" w:rsidRPr="009A457C" w:rsidRDefault="008A3DBB" w:rsidP="00FE43FE">
          <w:pPr>
            <w:tabs>
              <w:tab w:val="left" w:pos="2146"/>
            </w:tabs>
            <w:spacing w:before="120"/>
            <w:jc w:val="center"/>
            <w:rPr>
              <w:b/>
            </w:rPr>
          </w:pPr>
          <w:r w:rsidRPr="009A457C">
            <w:rPr>
              <w:b/>
            </w:rPr>
            <w:t xml:space="preserve">Awareness </w:t>
          </w:r>
          <w:r w:rsidR="00BC458C">
            <w:rPr>
              <w:b/>
            </w:rPr>
            <w:t>X</w:t>
          </w:r>
          <w:r w:rsidRPr="009A457C">
            <w:rPr>
              <w:b/>
            </w:rPr>
            <w:tab/>
            <w:t xml:space="preserve">Formal </w:t>
          </w:r>
          <w:r w:rsidR="00BA76E4">
            <w:rPr>
              <w:b/>
            </w:rPr>
            <w:t>X</w:t>
          </w:r>
        </w:p>
      </w:tc>
    </w:tr>
  </w:tbl>
  <w:p w14:paraId="457585C9" w14:textId="77777777" w:rsidR="000157F7" w:rsidRPr="00CB141A" w:rsidRDefault="000157F7" w:rsidP="008E72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1E0A04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 w15:restartNumberingAfterBreak="0">
    <w:nsid w:val="030F131F"/>
    <w:multiLevelType w:val="hybridMultilevel"/>
    <w:tmpl w:val="A1D60950"/>
    <w:lvl w:ilvl="0" w:tplc="812008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A552D"/>
    <w:multiLevelType w:val="hybridMultilevel"/>
    <w:tmpl w:val="F2FC44F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18D7F03"/>
    <w:multiLevelType w:val="multilevel"/>
    <w:tmpl w:val="D594499A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4" w15:restartNumberingAfterBreak="0">
    <w:nsid w:val="17EB54EB"/>
    <w:multiLevelType w:val="multilevel"/>
    <w:tmpl w:val="0F8CEF0C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5" w15:restartNumberingAfterBreak="0">
    <w:nsid w:val="1DA60E7F"/>
    <w:multiLevelType w:val="multilevel"/>
    <w:tmpl w:val="C3E8555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6" w15:restartNumberingAfterBreak="0">
    <w:nsid w:val="1EA427F5"/>
    <w:multiLevelType w:val="multilevel"/>
    <w:tmpl w:val="3E3E3510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7" w15:restartNumberingAfterBreak="0">
    <w:nsid w:val="1F4B2C68"/>
    <w:multiLevelType w:val="multilevel"/>
    <w:tmpl w:val="96D00FD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8" w15:restartNumberingAfterBreak="0">
    <w:nsid w:val="2E7E419F"/>
    <w:multiLevelType w:val="hybridMultilevel"/>
    <w:tmpl w:val="66868A16"/>
    <w:lvl w:ilvl="0" w:tplc="33DC08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B2EE7"/>
    <w:multiLevelType w:val="hybridMultilevel"/>
    <w:tmpl w:val="25F6D34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E1F5D55"/>
    <w:multiLevelType w:val="hybridMultilevel"/>
    <w:tmpl w:val="E0549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1E5F2B"/>
    <w:multiLevelType w:val="hybridMultilevel"/>
    <w:tmpl w:val="CA1C4F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7030EC2"/>
    <w:multiLevelType w:val="multilevel"/>
    <w:tmpl w:val="9350FFD4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3" w15:restartNumberingAfterBreak="0">
    <w:nsid w:val="4BEE3CBE"/>
    <w:multiLevelType w:val="hybridMultilevel"/>
    <w:tmpl w:val="16FAE1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C4216C7"/>
    <w:multiLevelType w:val="hybridMultilevel"/>
    <w:tmpl w:val="295E4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586C1A"/>
    <w:multiLevelType w:val="hybridMultilevel"/>
    <w:tmpl w:val="E6108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243E4C"/>
    <w:multiLevelType w:val="hybridMultilevel"/>
    <w:tmpl w:val="E8E8C926"/>
    <w:lvl w:ilvl="0" w:tplc="64D002F0"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6E22CE6"/>
    <w:multiLevelType w:val="hybridMultilevel"/>
    <w:tmpl w:val="75BE66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86652FE"/>
    <w:multiLevelType w:val="hybridMultilevel"/>
    <w:tmpl w:val="2E32BF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DB17913"/>
    <w:multiLevelType w:val="multilevel"/>
    <w:tmpl w:val="5CD238BE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0" w15:restartNumberingAfterBreak="0">
    <w:nsid w:val="7BE85525"/>
    <w:multiLevelType w:val="hybridMultilevel"/>
    <w:tmpl w:val="D31A06F4"/>
    <w:lvl w:ilvl="0" w:tplc="0C382C16">
      <w:start w:val="9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16"/>
  </w:num>
  <w:num w:numId="6">
    <w:abstractNumId w:val="10"/>
  </w:num>
  <w:num w:numId="7">
    <w:abstractNumId w:val="8"/>
  </w:num>
  <w:num w:numId="8">
    <w:abstractNumId w:val="11"/>
  </w:num>
  <w:num w:numId="9">
    <w:abstractNumId w:val="17"/>
  </w:num>
  <w:num w:numId="10">
    <w:abstractNumId w:val="12"/>
  </w:num>
  <w:num w:numId="11">
    <w:abstractNumId w:val="7"/>
  </w:num>
  <w:num w:numId="12">
    <w:abstractNumId w:val="19"/>
  </w:num>
  <w:num w:numId="13">
    <w:abstractNumId w:val="5"/>
  </w:num>
  <w:num w:numId="14">
    <w:abstractNumId w:val="6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20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JBFNB"/>
    <w:docVar w:name="2" w:val="ECKMH"/>
    <w:docVar w:name="I" w:val=" 276"/>
  </w:docVars>
  <w:rsids>
    <w:rsidRoot w:val="00660139"/>
    <w:rsid w:val="00000491"/>
    <w:rsid w:val="00006858"/>
    <w:rsid w:val="00007F0B"/>
    <w:rsid w:val="00011F4C"/>
    <w:rsid w:val="000157F7"/>
    <w:rsid w:val="00022ACB"/>
    <w:rsid w:val="00030B9C"/>
    <w:rsid w:val="00037AA4"/>
    <w:rsid w:val="000500FB"/>
    <w:rsid w:val="00054199"/>
    <w:rsid w:val="00061E09"/>
    <w:rsid w:val="00063C36"/>
    <w:rsid w:val="00063D6E"/>
    <w:rsid w:val="00096EB3"/>
    <w:rsid w:val="000A16F2"/>
    <w:rsid w:val="000A4D13"/>
    <w:rsid w:val="000A5790"/>
    <w:rsid w:val="000B264B"/>
    <w:rsid w:val="000C4918"/>
    <w:rsid w:val="000C76FC"/>
    <w:rsid w:val="000E097D"/>
    <w:rsid w:val="000F7035"/>
    <w:rsid w:val="0011541F"/>
    <w:rsid w:val="00115553"/>
    <w:rsid w:val="00116322"/>
    <w:rsid w:val="0011671B"/>
    <w:rsid w:val="00120049"/>
    <w:rsid w:val="00120E56"/>
    <w:rsid w:val="0012102C"/>
    <w:rsid w:val="001214D9"/>
    <w:rsid w:val="00122212"/>
    <w:rsid w:val="0012695E"/>
    <w:rsid w:val="0013284A"/>
    <w:rsid w:val="00134278"/>
    <w:rsid w:val="00140F07"/>
    <w:rsid w:val="00147AE3"/>
    <w:rsid w:val="00166F45"/>
    <w:rsid w:val="00180F42"/>
    <w:rsid w:val="00184012"/>
    <w:rsid w:val="001959E7"/>
    <w:rsid w:val="00195EDF"/>
    <w:rsid w:val="001A0D5A"/>
    <w:rsid w:val="001A3122"/>
    <w:rsid w:val="001B0105"/>
    <w:rsid w:val="001B2EAC"/>
    <w:rsid w:val="001D59BD"/>
    <w:rsid w:val="001E502E"/>
    <w:rsid w:val="001F0774"/>
    <w:rsid w:val="001F208A"/>
    <w:rsid w:val="001F4E5E"/>
    <w:rsid w:val="002126B1"/>
    <w:rsid w:val="00213389"/>
    <w:rsid w:val="002277B4"/>
    <w:rsid w:val="00242685"/>
    <w:rsid w:val="002447A3"/>
    <w:rsid w:val="00247DFB"/>
    <w:rsid w:val="00263B1D"/>
    <w:rsid w:val="00264FC4"/>
    <w:rsid w:val="00280BA3"/>
    <w:rsid w:val="00280EE0"/>
    <w:rsid w:val="00281E73"/>
    <w:rsid w:val="00284833"/>
    <w:rsid w:val="00285E3C"/>
    <w:rsid w:val="00294E57"/>
    <w:rsid w:val="0029606C"/>
    <w:rsid w:val="00296D21"/>
    <w:rsid w:val="002A081A"/>
    <w:rsid w:val="002A4EA9"/>
    <w:rsid w:val="002C1FC8"/>
    <w:rsid w:val="002D515E"/>
    <w:rsid w:val="002D6B57"/>
    <w:rsid w:val="002D7A9C"/>
    <w:rsid w:val="002E3D97"/>
    <w:rsid w:val="002E5C97"/>
    <w:rsid w:val="002E6FB1"/>
    <w:rsid w:val="003009C8"/>
    <w:rsid w:val="00305008"/>
    <w:rsid w:val="00307ADA"/>
    <w:rsid w:val="00314DF8"/>
    <w:rsid w:val="00324057"/>
    <w:rsid w:val="0032569C"/>
    <w:rsid w:val="0034059E"/>
    <w:rsid w:val="00360169"/>
    <w:rsid w:val="003679BD"/>
    <w:rsid w:val="00373CA2"/>
    <w:rsid w:val="003816A8"/>
    <w:rsid w:val="003A3ECA"/>
    <w:rsid w:val="003B1A8E"/>
    <w:rsid w:val="003B1DF0"/>
    <w:rsid w:val="003B2F21"/>
    <w:rsid w:val="003B625F"/>
    <w:rsid w:val="003B6382"/>
    <w:rsid w:val="003D1221"/>
    <w:rsid w:val="003E0AEE"/>
    <w:rsid w:val="003E4F62"/>
    <w:rsid w:val="003F072D"/>
    <w:rsid w:val="003F2131"/>
    <w:rsid w:val="003F35D9"/>
    <w:rsid w:val="003F521A"/>
    <w:rsid w:val="004002E6"/>
    <w:rsid w:val="00407232"/>
    <w:rsid w:val="0040757D"/>
    <w:rsid w:val="00412015"/>
    <w:rsid w:val="0042067D"/>
    <w:rsid w:val="00421A54"/>
    <w:rsid w:val="004351E4"/>
    <w:rsid w:val="00441C6C"/>
    <w:rsid w:val="00441D6B"/>
    <w:rsid w:val="00443FEA"/>
    <w:rsid w:val="00445792"/>
    <w:rsid w:val="0045246E"/>
    <w:rsid w:val="00454572"/>
    <w:rsid w:val="00457159"/>
    <w:rsid w:val="00464783"/>
    <w:rsid w:val="004659AC"/>
    <w:rsid w:val="004678DC"/>
    <w:rsid w:val="00470A47"/>
    <w:rsid w:val="00470ABC"/>
    <w:rsid w:val="0049546E"/>
    <w:rsid w:val="004A38A5"/>
    <w:rsid w:val="004A59A7"/>
    <w:rsid w:val="004C1531"/>
    <w:rsid w:val="004D1E19"/>
    <w:rsid w:val="004D5B48"/>
    <w:rsid w:val="004E009E"/>
    <w:rsid w:val="004E2409"/>
    <w:rsid w:val="004E67EC"/>
    <w:rsid w:val="004F2D7A"/>
    <w:rsid w:val="004F7906"/>
    <w:rsid w:val="00521CB5"/>
    <w:rsid w:val="00521D04"/>
    <w:rsid w:val="00523A76"/>
    <w:rsid w:val="00526A43"/>
    <w:rsid w:val="00530CD3"/>
    <w:rsid w:val="005345E6"/>
    <w:rsid w:val="00534611"/>
    <w:rsid w:val="00541160"/>
    <w:rsid w:val="00556627"/>
    <w:rsid w:val="0056014E"/>
    <w:rsid w:val="00562F87"/>
    <w:rsid w:val="00565ECE"/>
    <w:rsid w:val="00585267"/>
    <w:rsid w:val="00586F07"/>
    <w:rsid w:val="00593ED0"/>
    <w:rsid w:val="005A3FB1"/>
    <w:rsid w:val="005A7BBA"/>
    <w:rsid w:val="005B095B"/>
    <w:rsid w:val="005B22C0"/>
    <w:rsid w:val="005C01A2"/>
    <w:rsid w:val="005C0A9F"/>
    <w:rsid w:val="005C2500"/>
    <w:rsid w:val="005C364E"/>
    <w:rsid w:val="005D04D9"/>
    <w:rsid w:val="005E0A22"/>
    <w:rsid w:val="005E6689"/>
    <w:rsid w:val="005E6760"/>
    <w:rsid w:val="005F28E4"/>
    <w:rsid w:val="005F2C8B"/>
    <w:rsid w:val="005F56A9"/>
    <w:rsid w:val="00600841"/>
    <w:rsid w:val="006008F4"/>
    <w:rsid w:val="00615346"/>
    <w:rsid w:val="0062454D"/>
    <w:rsid w:val="0062472A"/>
    <w:rsid w:val="00626FE2"/>
    <w:rsid w:val="00633F94"/>
    <w:rsid w:val="00635142"/>
    <w:rsid w:val="00655019"/>
    <w:rsid w:val="00656503"/>
    <w:rsid w:val="00657967"/>
    <w:rsid w:val="00660110"/>
    <w:rsid w:val="00660139"/>
    <w:rsid w:val="00662257"/>
    <w:rsid w:val="00662891"/>
    <w:rsid w:val="0066769B"/>
    <w:rsid w:val="006702E6"/>
    <w:rsid w:val="00671F42"/>
    <w:rsid w:val="00674E92"/>
    <w:rsid w:val="00682346"/>
    <w:rsid w:val="00687CAB"/>
    <w:rsid w:val="0069388B"/>
    <w:rsid w:val="0069715D"/>
    <w:rsid w:val="006A06E4"/>
    <w:rsid w:val="006B5404"/>
    <w:rsid w:val="006D5A58"/>
    <w:rsid w:val="006F762E"/>
    <w:rsid w:val="0071032A"/>
    <w:rsid w:val="007139F2"/>
    <w:rsid w:val="00721085"/>
    <w:rsid w:val="00733F70"/>
    <w:rsid w:val="00752142"/>
    <w:rsid w:val="00753303"/>
    <w:rsid w:val="00780B4F"/>
    <w:rsid w:val="0079183F"/>
    <w:rsid w:val="007924AD"/>
    <w:rsid w:val="007A39E8"/>
    <w:rsid w:val="007A527C"/>
    <w:rsid w:val="007B0B96"/>
    <w:rsid w:val="007B4D8C"/>
    <w:rsid w:val="007B6CD3"/>
    <w:rsid w:val="007C2432"/>
    <w:rsid w:val="007C4BB5"/>
    <w:rsid w:val="007D0E77"/>
    <w:rsid w:val="007D18AE"/>
    <w:rsid w:val="007D3C8C"/>
    <w:rsid w:val="007D5E07"/>
    <w:rsid w:val="007E67A7"/>
    <w:rsid w:val="007F70AA"/>
    <w:rsid w:val="00803972"/>
    <w:rsid w:val="008040C4"/>
    <w:rsid w:val="0081465A"/>
    <w:rsid w:val="008309C5"/>
    <w:rsid w:val="008314DD"/>
    <w:rsid w:val="008341AB"/>
    <w:rsid w:val="0083553F"/>
    <w:rsid w:val="008362C6"/>
    <w:rsid w:val="00837206"/>
    <w:rsid w:val="00840547"/>
    <w:rsid w:val="00844D6E"/>
    <w:rsid w:val="00851270"/>
    <w:rsid w:val="008566DB"/>
    <w:rsid w:val="00862D28"/>
    <w:rsid w:val="008660FD"/>
    <w:rsid w:val="00873C8A"/>
    <w:rsid w:val="0087475B"/>
    <w:rsid w:val="00880A11"/>
    <w:rsid w:val="00885A91"/>
    <w:rsid w:val="00892D5D"/>
    <w:rsid w:val="008A0E37"/>
    <w:rsid w:val="008A3DBB"/>
    <w:rsid w:val="008A5022"/>
    <w:rsid w:val="008A66A9"/>
    <w:rsid w:val="008C0D93"/>
    <w:rsid w:val="008D1EB0"/>
    <w:rsid w:val="008D7DA8"/>
    <w:rsid w:val="008E06DA"/>
    <w:rsid w:val="008E7297"/>
    <w:rsid w:val="008E78C7"/>
    <w:rsid w:val="008F2A3D"/>
    <w:rsid w:val="00920236"/>
    <w:rsid w:val="00923E9F"/>
    <w:rsid w:val="009266E4"/>
    <w:rsid w:val="00941CF0"/>
    <w:rsid w:val="00943808"/>
    <w:rsid w:val="00950AF5"/>
    <w:rsid w:val="00957FC4"/>
    <w:rsid w:val="00960AE3"/>
    <w:rsid w:val="00965219"/>
    <w:rsid w:val="00966EAA"/>
    <w:rsid w:val="00966F48"/>
    <w:rsid w:val="00974015"/>
    <w:rsid w:val="0098201E"/>
    <w:rsid w:val="009847F7"/>
    <w:rsid w:val="00985302"/>
    <w:rsid w:val="00992003"/>
    <w:rsid w:val="00993665"/>
    <w:rsid w:val="009A0771"/>
    <w:rsid w:val="009A11AF"/>
    <w:rsid w:val="009A457C"/>
    <w:rsid w:val="009A5A8F"/>
    <w:rsid w:val="009E2391"/>
    <w:rsid w:val="009E2C5F"/>
    <w:rsid w:val="009E5F6B"/>
    <w:rsid w:val="009F2D0A"/>
    <w:rsid w:val="00A0529E"/>
    <w:rsid w:val="00A0645E"/>
    <w:rsid w:val="00A109CE"/>
    <w:rsid w:val="00A11BED"/>
    <w:rsid w:val="00A161DC"/>
    <w:rsid w:val="00A20AF3"/>
    <w:rsid w:val="00A20B3F"/>
    <w:rsid w:val="00A22621"/>
    <w:rsid w:val="00A2703E"/>
    <w:rsid w:val="00A326FC"/>
    <w:rsid w:val="00A4348F"/>
    <w:rsid w:val="00A44ABE"/>
    <w:rsid w:val="00A44E5C"/>
    <w:rsid w:val="00A55307"/>
    <w:rsid w:val="00A558B4"/>
    <w:rsid w:val="00A62548"/>
    <w:rsid w:val="00A657C7"/>
    <w:rsid w:val="00A81032"/>
    <w:rsid w:val="00A837A7"/>
    <w:rsid w:val="00A85B29"/>
    <w:rsid w:val="00A90F8E"/>
    <w:rsid w:val="00AA5D5D"/>
    <w:rsid w:val="00AC4973"/>
    <w:rsid w:val="00AD3AC3"/>
    <w:rsid w:val="00B01780"/>
    <w:rsid w:val="00B20F0A"/>
    <w:rsid w:val="00B22874"/>
    <w:rsid w:val="00B25E3F"/>
    <w:rsid w:val="00B316A4"/>
    <w:rsid w:val="00B35375"/>
    <w:rsid w:val="00B446F6"/>
    <w:rsid w:val="00B47941"/>
    <w:rsid w:val="00B5452D"/>
    <w:rsid w:val="00B6206D"/>
    <w:rsid w:val="00B76A9F"/>
    <w:rsid w:val="00B803DC"/>
    <w:rsid w:val="00B8111D"/>
    <w:rsid w:val="00B83B68"/>
    <w:rsid w:val="00B86750"/>
    <w:rsid w:val="00B952D5"/>
    <w:rsid w:val="00BA1257"/>
    <w:rsid w:val="00BA4501"/>
    <w:rsid w:val="00BA5A9B"/>
    <w:rsid w:val="00BA6583"/>
    <w:rsid w:val="00BA6AD4"/>
    <w:rsid w:val="00BA76E4"/>
    <w:rsid w:val="00BC05E3"/>
    <w:rsid w:val="00BC1F22"/>
    <w:rsid w:val="00BC458C"/>
    <w:rsid w:val="00BD2B0C"/>
    <w:rsid w:val="00BD4BA4"/>
    <w:rsid w:val="00BF3E29"/>
    <w:rsid w:val="00C03FC7"/>
    <w:rsid w:val="00C054D0"/>
    <w:rsid w:val="00C10A57"/>
    <w:rsid w:val="00C201CD"/>
    <w:rsid w:val="00C21B14"/>
    <w:rsid w:val="00C23D82"/>
    <w:rsid w:val="00C254E3"/>
    <w:rsid w:val="00C36F8E"/>
    <w:rsid w:val="00C3793C"/>
    <w:rsid w:val="00C47C66"/>
    <w:rsid w:val="00C527DE"/>
    <w:rsid w:val="00C74099"/>
    <w:rsid w:val="00C82D27"/>
    <w:rsid w:val="00C86EDA"/>
    <w:rsid w:val="00C87E43"/>
    <w:rsid w:val="00C90E9A"/>
    <w:rsid w:val="00CA0C58"/>
    <w:rsid w:val="00CA0C70"/>
    <w:rsid w:val="00CB141A"/>
    <w:rsid w:val="00CB695C"/>
    <w:rsid w:val="00CC3075"/>
    <w:rsid w:val="00CC3A0B"/>
    <w:rsid w:val="00CC596E"/>
    <w:rsid w:val="00CC5CA0"/>
    <w:rsid w:val="00CC7AC1"/>
    <w:rsid w:val="00CC7E4D"/>
    <w:rsid w:val="00CD3ADC"/>
    <w:rsid w:val="00CD7685"/>
    <w:rsid w:val="00CE3BAD"/>
    <w:rsid w:val="00CE3E3F"/>
    <w:rsid w:val="00CF4F61"/>
    <w:rsid w:val="00D0068F"/>
    <w:rsid w:val="00D02BAC"/>
    <w:rsid w:val="00D036CE"/>
    <w:rsid w:val="00D14099"/>
    <w:rsid w:val="00D17082"/>
    <w:rsid w:val="00D35E41"/>
    <w:rsid w:val="00D43B86"/>
    <w:rsid w:val="00D44FAA"/>
    <w:rsid w:val="00D51526"/>
    <w:rsid w:val="00D60BFF"/>
    <w:rsid w:val="00D63B0C"/>
    <w:rsid w:val="00D663EF"/>
    <w:rsid w:val="00D8008E"/>
    <w:rsid w:val="00D808FE"/>
    <w:rsid w:val="00D8621B"/>
    <w:rsid w:val="00D927D1"/>
    <w:rsid w:val="00D93121"/>
    <w:rsid w:val="00D97FEE"/>
    <w:rsid w:val="00DA097A"/>
    <w:rsid w:val="00DA245B"/>
    <w:rsid w:val="00DA2D5D"/>
    <w:rsid w:val="00DB10EC"/>
    <w:rsid w:val="00DD09F6"/>
    <w:rsid w:val="00DD3AD9"/>
    <w:rsid w:val="00DE50F3"/>
    <w:rsid w:val="00DF66C9"/>
    <w:rsid w:val="00E0427A"/>
    <w:rsid w:val="00E20DFD"/>
    <w:rsid w:val="00E210C0"/>
    <w:rsid w:val="00E22450"/>
    <w:rsid w:val="00E254BF"/>
    <w:rsid w:val="00E3265D"/>
    <w:rsid w:val="00E33A04"/>
    <w:rsid w:val="00E37FCC"/>
    <w:rsid w:val="00E40A0F"/>
    <w:rsid w:val="00E53300"/>
    <w:rsid w:val="00E72A6B"/>
    <w:rsid w:val="00E73CED"/>
    <w:rsid w:val="00E75971"/>
    <w:rsid w:val="00E77A2A"/>
    <w:rsid w:val="00E81B08"/>
    <w:rsid w:val="00E862AD"/>
    <w:rsid w:val="00E865D8"/>
    <w:rsid w:val="00E91152"/>
    <w:rsid w:val="00EA25B6"/>
    <w:rsid w:val="00EC3817"/>
    <w:rsid w:val="00EC4296"/>
    <w:rsid w:val="00EC5058"/>
    <w:rsid w:val="00EC5DD6"/>
    <w:rsid w:val="00ED38B0"/>
    <w:rsid w:val="00ED6509"/>
    <w:rsid w:val="00ED7A55"/>
    <w:rsid w:val="00EE1F1B"/>
    <w:rsid w:val="00EE6572"/>
    <w:rsid w:val="00EE6DD0"/>
    <w:rsid w:val="00EF1F2D"/>
    <w:rsid w:val="00EF4B1B"/>
    <w:rsid w:val="00F02116"/>
    <w:rsid w:val="00F272E3"/>
    <w:rsid w:val="00F310E9"/>
    <w:rsid w:val="00F32B5E"/>
    <w:rsid w:val="00F406FB"/>
    <w:rsid w:val="00F53AAC"/>
    <w:rsid w:val="00F54462"/>
    <w:rsid w:val="00F60229"/>
    <w:rsid w:val="00F60C78"/>
    <w:rsid w:val="00F6562F"/>
    <w:rsid w:val="00F6643B"/>
    <w:rsid w:val="00F7178F"/>
    <w:rsid w:val="00F73CB9"/>
    <w:rsid w:val="00F742F3"/>
    <w:rsid w:val="00F76368"/>
    <w:rsid w:val="00F84F14"/>
    <w:rsid w:val="00F87511"/>
    <w:rsid w:val="00FB331B"/>
    <w:rsid w:val="00FB3E0E"/>
    <w:rsid w:val="00FB540D"/>
    <w:rsid w:val="00FB658C"/>
    <w:rsid w:val="00FB7359"/>
    <w:rsid w:val="00FB7BE2"/>
    <w:rsid w:val="00FC18FE"/>
    <w:rsid w:val="00FC6F3F"/>
    <w:rsid w:val="00FD5D48"/>
    <w:rsid w:val="00FD6DAB"/>
    <w:rsid w:val="00FE1C55"/>
    <w:rsid w:val="00FE43FE"/>
    <w:rsid w:val="00FF310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EC551"/>
  <w15:docId w15:val="{4944C165-D6EC-42B5-9C08-FFC4B639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6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Body1"/>
    <w:qFormat/>
    <w:rsid w:val="005C0A9F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 w:line="276" w:lineRule="auto"/>
      <w:outlineLvl w:val="0"/>
    </w:pPr>
    <w:rPr>
      <w:b/>
      <w:caps/>
    </w:rPr>
  </w:style>
  <w:style w:type="paragraph" w:styleId="Heading2">
    <w:name w:val="heading 2"/>
    <w:basedOn w:val="Normal"/>
    <w:next w:val="Body2"/>
    <w:qFormat/>
    <w:rsid w:val="005C0A9F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 w:line="276" w:lineRule="auto"/>
      <w:outlineLvl w:val="1"/>
    </w:pPr>
  </w:style>
  <w:style w:type="paragraph" w:styleId="Heading3">
    <w:name w:val="heading 3"/>
    <w:basedOn w:val="Normal"/>
    <w:next w:val="Body3"/>
    <w:qFormat/>
    <w:rsid w:val="005C0A9F"/>
    <w:pPr>
      <w:widowControl w:val="0"/>
      <w:numPr>
        <w:ilvl w:val="2"/>
        <w:numId w:val="1"/>
      </w:numPr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5C0A9F"/>
    <w:pPr>
      <w:widowControl w:val="0"/>
      <w:numPr>
        <w:ilvl w:val="3"/>
        <w:numId w:val="1"/>
      </w:numPr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5C0A9F"/>
    <w:pPr>
      <w:numPr>
        <w:ilvl w:val="4"/>
        <w:numId w:val="1"/>
      </w:numPr>
      <w:suppressAutoHyphens/>
      <w:spacing w:before="120" w:after="60"/>
      <w:outlineLvl w:val="4"/>
    </w:pPr>
  </w:style>
  <w:style w:type="paragraph" w:styleId="Heading6">
    <w:name w:val="heading 6"/>
    <w:basedOn w:val="Normal"/>
    <w:next w:val="Normal"/>
    <w:qFormat/>
    <w:rsid w:val="005C0A9F"/>
    <w:pPr>
      <w:numPr>
        <w:ilvl w:val="5"/>
        <w:numId w:val="1"/>
      </w:numPr>
      <w:spacing w:before="12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5C0A9F"/>
    <w:pPr>
      <w:numPr>
        <w:ilvl w:val="6"/>
        <w:numId w:val="1"/>
      </w:numPr>
      <w:spacing w:before="12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5C0A9F"/>
    <w:pPr>
      <w:numPr>
        <w:ilvl w:val="7"/>
        <w:numId w:val="1"/>
      </w:numPr>
      <w:spacing w:before="12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5C0A9F"/>
    <w:pPr>
      <w:numPr>
        <w:ilvl w:val="8"/>
        <w:numId w:val="1"/>
      </w:numPr>
      <w:spacing w:before="12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2126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26B1"/>
  </w:style>
  <w:style w:type="paragraph" w:customStyle="1" w:styleId="Normal0">
    <w:name w:val="Normal+"/>
    <w:basedOn w:val="Normal"/>
    <w:next w:val="Normal"/>
    <w:rsid w:val="005C0A9F"/>
    <w:pPr>
      <w:suppressAutoHyphens/>
    </w:pPr>
  </w:style>
  <w:style w:type="paragraph" w:styleId="Header">
    <w:name w:val="header"/>
    <w:basedOn w:val="Normal"/>
    <w:rsid w:val="005C0A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0A9F"/>
    <w:pPr>
      <w:tabs>
        <w:tab w:val="center" w:pos="4320"/>
        <w:tab w:val="right" w:pos="8640"/>
      </w:tabs>
    </w:pPr>
  </w:style>
  <w:style w:type="paragraph" w:customStyle="1" w:styleId="Body1">
    <w:name w:val="Body1"/>
    <w:basedOn w:val="Normal"/>
    <w:rsid w:val="005C0A9F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5C0A9F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5C0A9F"/>
    <w:pPr>
      <w:keepLines/>
      <w:suppressAutoHyphens/>
      <w:spacing w:before="60" w:after="60"/>
      <w:ind w:left="1987"/>
    </w:pPr>
  </w:style>
  <w:style w:type="character" w:styleId="PageNumber">
    <w:name w:val="page number"/>
    <w:basedOn w:val="DefaultParagraphFont"/>
    <w:rsid w:val="005C0A9F"/>
  </w:style>
  <w:style w:type="character" w:styleId="Hyperlink">
    <w:name w:val="Hyperlink"/>
    <w:basedOn w:val="DefaultParagraphFont"/>
    <w:uiPriority w:val="99"/>
    <w:rsid w:val="005C0A9F"/>
    <w:rPr>
      <w:color w:val="0000FF"/>
      <w:u w:val="single"/>
    </w:rPr>
  </w:style>
  <w:style w:type="character" w:styleId="FollowedHyperlink">
    <w:name w:val="FollowedHyperlink"/>
    <w:basedOn w:val="DefaultParagraphFont"/>
    <w:rsid w:val="005C0A9F"/>
    <w:rPr>
      <w:color w:val="800080"/>
      <w:u w:val="single"/>
    </w:rPr>
  </w:style>
  <w:style w:type="paragraph" w:customStyle="1" w:styleId="Note">
    <w:name w:val="Note"/>
    <w:basedOn w:val="Normal"/>
    <w:next w:val="Normal"/>
    <w:rsid w:val="005C0A9F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5C0A9F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5C0A9F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5C0A9F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5C0A9F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5C0A9F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5C0A9F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5C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0A9F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C0A9F"/>
    <w:pPr>
      <w:keepNext/>
      <w:keepLines/>
      <w:widowControl/>
      <w:numPr>
        <w:numId w:val="0"/>
      </w:numPr>
      <w:shd w:val="clear" w:color="auto" w:fill="auto"/>
      <w:tabs>
        <w:tab w:val="clear" w:pos="720"/>
      </w:tabs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5C0A9F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5C0A9F"/>
    <w:pPr>
      <w:spacing w:after="100"/>
      <w:ind w:left="240"/>
    </w:pPr>
  </w:style>
  <w:style w:type="paragraph" w:customStyle="1" w:styleId="Footer1">
    <w:name w:val="Footer1"/>
    <w:basedOn w:val="Footer"/>
    <w:next w:val="Normal"/>
    <w:rsid w:val="005C0A9F"/>
  </w:style>
  <w:style w:type="paragraph" w:customStyle="1" w:styleId="StyleHeading2Arial">
    <w:name w:val="Style Heading 2 + Arial"/>
    <w:basedOn w:val="Heading2"/>
    <w:rsid w:val="005C0A9F"/>
    <w:rPr>
      <w:b/>
    </w:rPr>
  </w:style>
  <w:style w:type="character" w:styleId="PlaceholderText">
    <w:name w:val="Placeholder Text"/>
    <w:basedOn w:val="DefaultParagraphFont"/>
    <w:uiPriority w:val="99"/>
    <w:semiHidden/>
    <w:rsid w:val="005C0A9F"/>
    <w:rPr>
      <w:color w:val="808080"/>
    </w:rPr>
  </w:style>
  <w:style w:type="paragraph" w:styleId="BodyText2">
    <w:name w:val="Body Text 2"/>
    <w:basedOn w:val="Normal"/>
    <w:link w:val="BodyText2Char"/>
    <w:rsid w:val="005C0A9F"/>
    <w:pPr>
      <w:ind w:left="1440"/>
    </w:pPr>
  </w:style>
  <w:style w:type="character" w:customStyle="1" w:styleId="BodyText2Char">
    <w:name w:val="Body Text 2 Char"/>
    <w:basedOn w:val="DefaultParagraphFont"/>
    <w:link w:val="BodyText2"/>
    <w:rsid w:val="005C0A9F"/>
  </w:style>
  <w:style w:type="paragraph" w:customStyle="1" w:styleId="Body4">
    <w:name w:val="Body4"/>
    <w:basedOn w:val="Normal"/>
    <w:rsid w:val="005C0A9F"/>
    <w:pPr>
      <w:keepLines/>
      <w:suppressAutoHyphens/>
      <w:spacing w:before="60" w:after="60"/>
      <w:ind w:left="3240"/>
    </w:pPr>
  </w:style>
  <w:style w:type="paragraph" w:styleId="ListParagraph">
    <w:name w:val="List Paragraph"/>
    <w:basedOn w:val="Normal"/>
    <w:uiPriority w:val="34"/>
    <w:qFormat/>
    <w:rsid w:val="005C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b5744b12-f1bc-4780-8577-ba39858743d7" origin="userSelected"/>
</file>

<file path=customXml/itemProps1.xml><?xml version="1.0" encoding="utf-8"?>
<ds:datastoreItem xmlns:ds="http://schemas.openxmlformats.org/officeDocument/2006/customXml" ds:itemID="{87A32E79-6C6C-4178-89E5-60968D4D8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D1DF88-734A-445A-A41A-291C5D719A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on Approval Signatures:</vt:lpstr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on Approval Signatures:</dc:title>
  <dc:creator>Jesse Gunderson</dc:creator>
  <cp:lastModifiedBy>Gunderson, Jesse</cp:lastModifiedBy>
  <cp:revision>5</cp:revision>
  <cp:lastPrinted>2014-01-13T14:36:00Z</cp:lastPrinted>
  <dcterms:created xsi:type="dcterms:W3CDTF">2022-01-06T21:12:00Z</dcterms:created>
  <dcterms:modified xsi:type="dcterms:W3CDTF">2022-01-06T21:17:00Z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f18f1af6-92d0-4dec-ae5a-f8302dc75a65</vt:lpwstr>
  </property>
  <property fmtid="{D5CDD505-2E9C-101B-9397-08002B2CF9AE}" pid="3" name="bjDocumentSecurityLabel">
    <vt:lpwstr>This item has no classification</vt:lpwstr>
  </property>
  <property fmtid="{D5CDD505-2E9C-101B-9397-08002B2CF9AE}" pid="4" name="bjClsUserRVM">
    <vt:lpwstr>[]</vt:lpwstr>
  </property>
  <property fmtid="{D5CDD505-2E9C-101B-9397-08002B2CF9AE}" pid="5" name="bjSaver">
    <vt:lpwstr>JKVMu+BWioepjbdn0vmXoM44NsUARrFq</vt:lpwstr>
  </property>
</Properties>
</file>