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32" w:rsidRDefault="00B46267">
      <w:pPr>
        <w:tabs>
          <w:tab w:val="right" w:leader="underscore" w:pos="10800"/>
        </w:tabs>
        <w:jc w:val="center"/>
        <w:rPr>
          <w:rFonts w:ascii="Arial" w:hAnsi="Arial"/>
          <w:b/>
          <w:sz w:val="24"/>
        </w:rPr>
      </w:pPr>
      <w:bookmarkStart w:id="0" w:name="_GoBack"/>
      <w:bookmarkEnd w:id="0"/>
      <w:r>
        <w:rPr>
          <w:rFonts w:ascii="Arial" w:hAnsi="Arial"/>
          <w:b/>
          <w:sz w:val="24"/>
        </w:rPr>
        <w:t>Notification of Visitors to Larson Davis/PCB</w:t>
      </w:r>
      <w:r w:rsidR="00A11332">
        <w:rPr>
          <w:rFonts w:ascii="Arial" w:hAnsi="Arial"/>
          <w:b/>
          <w:sz w:val="24"/>
        </w:rPr>
        <w:t xml:space="preserve">  </w:t>
      </w:r>
    </w:p>
    <w:p w:rsidR="00A11332" w:rsidRDefault="00A11332">
      <w:pPr>
        <w:tabs>
          <w:tab w:val="right" w:leader="underscore" w:pos="10800"/>
        </w:tabs>
        <w:rPr>
          <w:rFonts w:ascii="Arial" w:hAnsi="Arial"/>
          <w:sz w:val="24"/>
        </w:rPr>
      </w:pPr>
      <w:r>
        <w:rPr>
          <w:rFonts w:ascii="Arial" w:hAnsi="Arial"/>
          <w:b/>
          <w:sz w:val="24"/>
        </w:rPr>
        <w:t>Purpose:</w:t>
      </w:r>
    </w:p>
    <w:p w:rsidR="00A11332" w:rsidRDefault="00A11332">
      <w:pPr>
        <w:tabs>
          <w:tab w:val="left" w:pos="720"/>
        </w:tabs>
        <w:ind w:left="360" w:hanging="360"/>
        <w:rPr>
          <w:rFonts w:ascii="Arial" w:hAnsi="Arial"/>
        </w:rPr>
      </w:pPr>
      <w:r>
        <w:rPr>
          <w:rFonts w:ascii="Arial" w:hAnsi="Arial"/>
        </w:rPr>
        <w:tab/>
        <w:t>To assure proper screening of visitors, US Citizens and Foreign Nationals, occurs prior to the visit within the facility.</w:t>
      </w:r>
    </w:p>
    <w:p w:rsidR="00A11332" w:rsidRDefault="00A11332">
      <w:pPr>
        <w:tabs>
          <w:tab w:val="left" w:pos="720"/>
        </w:tabs>
        <w:ind w:left="360" w:hanging="360"/>
        <w:rPr>
          <w:rFonts w:ascii="Arial" w:hAnsi="Arial"/>
        </w:rPr>
      </w:pPr>
    </w:p>
    <w:p w:rsidR="00A11332" w:rsidRDefault="00A11332">
      <w:pPr>
        <w:tabs>
          <w:tab w:val="left" w:pos="720"/>
        </w:tabs>
        <w:ind w:left="360" w:hanging="360"/>
        <w:rPr>
          <w:rFonts w:ascii="Arial" w:hAnsi="Arial"/>
          <w:sz w:val="24"/>
        </w:rPr>
      </w:pPr>
      <w:r>
        <w:rPr>
          <w:rFonts w:ascii="Arial" w:hAnsi="Arial"/>
          <w:b/>
          <w:sz w:val="24"/>
        </w:rPr>
        <w:t>Responsibilities:</w:t>
      </w:r>
    </w:p>
    <w:p w:rsidR="00A11332" w:rsidRDefault="00A11332">
      <w:pPr>
        <w:tabs>
          <w:tab w:val="left" w:pos="720"/>
        </w:tabs>
        <w:ind w:left="360" w:hanging="360"/>
        <w:rPr>
          <w:rFonts w:ascii="Arial" w:hAnsi="Arial"/>
        </w:rPr>
      </w:pPr>
      <w:r>
        <w:rPr>
          <w:rFonts w:ascii="Arial" w:hAnsi="Arial"/>
        </w:rPr>
        <w:tab/>
      </w:r>
      <w:r>
        <w:rPr>
          <w:rFonts w:ascii="Arial" w:hAnsi="Arial"/>
        </w:rPr>
        <w:fldChar w:fldCharType="begin"/>
      </w:r>
      <w:r>
        <w:rPr>
          <w:rFonts w:ascii="Arial" w:hAnsi="Arial"/>
        </w:rPr>
        <w:instrText>fillin "Enter who is responsible for maintaining and carrying out this procedure:"</w:instrText>
      </w:r>
      <w:r>
        <w:rPr>
          <w:rFonts w:ascii="Arial" w:hAnsi="Arial"/>
        </w:rPr>
        <w:fldChar w:fldCharType="separate"/>
      </w:r>
      <w:r>
        <w:rPr>
          <w:rFonts w:ascii="Arial" w:hAnsi="Arial"/>
        </w:rPr>
        <w:t>Sales and Marketing, Engineering, Personnel and Purchasing</w:t>
      </w:r>
      <w:r>
        <w:rPr>
          <w:rFonts w:ascii="Arial" w:hAnsi="Arial"/>
        </w:rPr>
        <w:fldChar w:fldCharType="end"/>
      </w:r>
    </w:p>
    <w:p w:rsidR="00A11332" w:rsidRDefault="00A11332">
      <w:pPr>
        <w:tabs>
          <w:tab w:val="left" w:pos="720"/>
        </w:tabs>
        <w:ind w:left="360" w:hanging="360"/>
        <w:rPr>
          <w:rFonts w:ascii="Arial" w:hAnsi="Arial"/>
        </w:rPr>
      </w:pPr>
    </w:p>
    <w:p w:rsidR="00A11332" w:rsidRDefault="00A11332">
      <w:pPr>
        <w:tabs>
          <w:tab w:val="left" w:pos="720"/>
        </w:tabs>
        <w:ind w:left="360" w:hanging="360"/>
        <w:rPr>
          <w:rFonts w:ascii="Arial" w:hAnsi="Arial"/>
          <w:sz w:val="24"/>
        </w:rPr>
      </w:pPr>
      <w:r>
        <w:rPr>
          <w:rFonts w:ascii="Arial" w:hAnsi="Arial"/>
          <w:b/>
          <w:sz w:val="24"/>
        </w:rPr>
        <w:t>Associated Documents:</w:t>
      </w:r>
    </w:p>
    <w:p w:rsidR="00A11332" w:rsidRDefault="00A11332">
      <w:pPr>
        <w:tabs>
          <w:tab w:val="left" w:pos="720"/>
        </w:tabs>
        <w:ind w:left="360" w:hanging="360"/>
        <w:rPr>
          <w:rFonts w:ascii="Arial" w:hAnsi="Arial"/>
        </w:rPr>
      </w:pPr>
      <w:r>
        <w:rPr>
          <w:rFonts w:ascii="Arial" w:hAnsi="Arial"/>
        </w:rPr>
        <w:tab/>
      </w:r>
      <w:r>
        <w:rPr>
          <w:rFonts w:ascii="Arial" w:hAnsi="Arial"/>
        </w:rPr>
        <w:fldChar w:fldCharType="begin"/>
      </w:r>
      <w:r>
        <w:rPr>
          <w:rFonts w:ascii="Arial" w:hAnsi="Arial"/>
        </w:rPr>
        <w:instrText>fillin "Enter any documents specifically associated with this procedure.  Always include ISO 9001, QSM, and QAM but not PCB forms or procs.</w:instrText>
      </w:r>
      <w:r>
        <w:rPr>
          <w:rFonts w:ascii="Arial" w:hAnsi="Arial"/>
        </w:rPr>
        <w:fldChar w:fldCharType="separate"/>
      </w:r>
      <w:r>
        <w:rPr>
          <w:rFonts w:ascii="Arial" w:hAnsi="Arial"/>
        </w:rPr>
        <w:t xml:space="preserve">ISO 9001, QSM, QAM </w:t>
      </w:r>
      <w:r>
        <w:rPr>
          <w:rFonts w:ascii="Arial" w:hAnsi="Arial"/>
        </w:rPr>
        <w:fldChar w:fldCharType="end"/>
      </w:r>
    </w:p>
    <w:p w:rsidR="00A11332" w:rsidRDefault="00A11332">
      <w:pPr>
        <w:tabs>
          <w:tab w:val="left" w:pos="720"/>
        </w:tabs>
        <w:ind w:left="360" w:hanging="360"/>
        <w:rPr>
          <w:rFonts w:ascii="Arial" w:hAnsi="Arial"/>
        </w:rPr>
      </w:pPr>
    </w:p>
    <w:p w:rsidR="00A11332" w:rsidRDefault="00A11332">
      <w:pPr>
        <w:tabs>
          <w:tab w:val="left" w:pos="720"/>
        </w:tabs>
        <w:ind w:left="360" w:hanging="360"/>
        <w:rPr>
          <w:rFonts w:ascii="Arial" w:hAnsi="Arial"/>
          <w:b/>
          <w:sz w:val="24"/>
        </w:rPr>
      </w:pPr>
      <w:r>
        <w:rPr>
          <w:rFonts w:ascii="Arial" w:hAnsi="Arial"/>
          <w:b/>
          <w:sz w:val="24"/>
        </w:rPr>
        <w:t>Procedure:</w:t>
      </w:r>
    </w:p>
    <w:p w:rsidR="00A11332" w:rsidRDefault="00A11332">
      <w:pPr>
        <w:tabs>
          <w:tab w:val="left" w:pos="720"/>
        </w:tabs>
        <w:ind w:left="360" w:hanging="360"/>
        <w:rPr>
          <w:rFonts w:ascii="Arial" w:hAnsi="Arial"/>
          <w:bCs/>
        </w:rPr>
      </w:pPr>
      <w:r>
        <w:rPr>
          <w:rFonts w:ascii="Arial" w:hAnsi="Arial"/>
          <w:b/>
          <w:sz w:val="24"/>
        </w:rPr>
        <w:tab/>
      </w:r>
      <w:r>
        <w:rPr>
          <w:rFonts w:ascii="Arial" w:hAnsi="Arial"/>
          <w:bCs/>
        </w:rPr>
        <w:t>PCB maintains an open door policy enabling visits by US citizens and Foreign Nationals to PCB for discussion of business opportunities.  As PCB is compliant to the U.S. Export Administration Regulations (</w:t>
      </w:r>
      <w:smartTag w:uri="urn:schemas-microsoft-com:office:smarttags" w:element="stockticker">
        <w:r>
          <w:rPr>
            <w:rFonts w:ascii="Arial" w:hAnsi="Arial"/>
            <w:bCs/>
          </w:rPr>
          <w:t>EAR</w:t>
        </w:r>
      </w:smartTag>
      <w:r>
        <w:rPr>
          <w:rFonts w:ascii="Arial" w:hAnsi="Arial"/>
          <w:bCs/>
        </w:rPr>
        <w:t xml:space="preserve">) and International Traffic </w:t>
      </w:r>
      <w:proofErr w:type="gramStart"/>
      <w:r>
        <w:rPr>
          <w:rFonts w:ascii="Arial" w:hAnsi="Arial"/>
          <w:bCs/>
        </w:rPr>
        <w:t>In</w:t>
      </w:r>
      <w:proofErr w:type="gramEnd"/>
      <w:r>
        <w:rPr>
          <w:rFonts w:ascii="Arial" w:hAnsi="Arial"/>
          <w:bCs/>
        </w:rPr>
        <w:t xml:space="preserve"> Arms Regulations (ITAR), it is necessary to record the purpose and associated details of the visit.  This procedure is to restrict unlawful transfer of product and “Deemed Export” of restricted technologies.  </w:t>
      </w:r>
    </w:p>
    <w:p w:rsidR="00A11332" w:rsidRDefault="00A11332">
      <w:pPr>
        <w:tabs>
          <w:tab w:val="left" w:pos="720"/>
        </w:tabs>
        <w:ind w:left="360" w:hanging="360"/>
        <w:rPr>
          <w:rFonts w:ascii="Arial" w:hAnsi="Arial"/>
          <w:bCs/>
        </w:rPr>
      </w:pPr>
    </w:p>
    <w:p w:rsidR="00A11332" w:rsidRDefault="00A11332">
      <w:pPr>
        <w:tabs>
          <w:tab w:val="left" w:pos="720"/>
        </w:tabs>
        <w:ind w:left="360" w:hanging="360"/>
        <w:rPr>
          <w:rFonts w:ascii="Arial" w:hAnsi="Arial"/>
          <w:b/>
        </w:rPr>
      </w:pPr>
      <w:r>
        <w:rPr>
          <w:rFonts w:ascii="Arial" w:hAnsi="Arial"/>
          <w:bCs/>
        </w:rPr>
        <w:t xml:space="preserve">     </w:t>
      </w:r>
      <w:r>
        <w:rPr>
          <w:rFonts w:ascii="Arial" w:hAnsi="Arial"/>
          <w:b/>
        </w:rPr>
        <w:t>For Sales and Marketing, and International Engineering Visitor(s) and Purchasing Vendor(s)</w:t>
      </w:r>
    </w:p>
    <w:p w:rsidR="00A11332" w:rsidRDefault="00A11332">
      <w:pPr>
        <w:tabs>
          <w:tab w:val="left" w:pos="720"/>
        </w:tabs>
        <w:rPr>
          <w:rFonts w:ascii="Arial" w:hAnsi="Arial"/>
          <w:bCs/>
        </w:rPr>
      </w:pPr>
      <w:r>
        <w:rPr>
          <w:rFonts w:ascii="Arial" w:hAnsi="Arial"/>
          <w:b/>
        </w:rPr>
        <w:t xml:space="preserve">     </w:t>
      </w:r>
      <w:r>
        <w:rPr>
          <w:rFonts w:ascii="Arial" w:hAnsi="Arial"/>
          <w:bCs/>
        </w:rPr>
        <w:t>Upon knowledge of a visit to PCB, the PCB host should:</w:t>
      </w:r>
    </w:p>
    <w:p w:rsidR="00A11332" w:rsidRDefault="00A11332">
      <w:pPr>
        <w:numPr>
          <w:ilvl w:val="0"/>
          <w:numId w:val="1"/>
        </w:numPr>
        <w:rPr>
          <w:rFonts w:ascii="Arial" w:hAnsi="Arial"/>
          <w:bCs/>
        </w:rPr>
      </w:pPr>
      <w:r>
        <w:rPr>
          <w:rFonts w:ascii="Arial" w:hAnsi="Arial"/>
          <w:bCs/>
        </w:rPr>
        <w:t>Complete form SM013</w:t>
      </w:r>
    </w:p>
    <w:p w:rsidR="00A11332" w:rsidRDefault="00A11332">
      <w:pPr>
        <w:numPr>
          <w:ilvl w:val="0"/>
          <w:numId w:val="1"/>
        </w:numPr>
        <w:rPr>
          <w:rFonts w:ascii="Arial" w:hAnsi="Arial"/>
          <w:bCs/>
        </w:rPr>
      </w:pPr>
      <w:r>
        <w:rPr>
          <w:rFonts w:ascii="Arial" w:hAnsi="Arial"/>
          <w:bCs/>
        </w:rPr>
        <w:t xml:space="preserve">Review the Denied Party or Entity lists as outlined in SM1012 Denied Party Procedure to assure the visitor(s) and/or organization(s) is not listed. </w:t>
      </w:r>
    </w:p>
    <w:p w:rsidR="00A11332" w:rsidRDefault="00A11332">
      <w:pPr>
        <w:numPr>
          <w:ilvl w:val="0"/>
          <w:numId w:val="1"/>
        </w:numPr>
        <w:rPr>
          <w:rFonts w:ascii="Arial" w:hAnsi="Arial"/>
          <w:bCs/>
        </w:rPr>
      </w:pPr>
      <w:r>
        <w:rPr>
          <w:rFonts w:ascii="Arial" w:hAnsi="Arial"/>
          <w:bCs/>
        </w:rPr>
        <w:t>Meet with the Export Manager to discuss the visit purpose of Foreign Nationals.</w:t>
      </w:r>
    </w:p>
    <w:p w:rsidR="00A11332" w:rsidRDefault="00A11332">
      <w:pPr>
        <w:numPr>
          <w:ilvl w:val="0"/>
          <w:numId w:val="1"/>
        </w:numPr>
        <w:rPr>
          <w:rFonts w:ascii="Arial" w:hAnsi="Arial"/>
          <w:bCs/>
        </w:rPr>
      </w:pPr>
      <w:r>
        <w:rPr>
          <w:rFonts w:ascii="Arial" w:hAnsi="Arial"/>
          <w:bCs/>
        </w:rPr>
        <w:t>Provide information as required by the Export Manager should it be determined that licensing is required prior to the visit.</w:t>
      </w:r>
    </w:p>
    <w:p w:rsidR="00A11332" w:rsidRDefault="00A11332">
      <w:pPr>
        <w:rPr>
          <w:rFonts w:ascii="Arial" w:hAnsi="Arial"/>
          <w:bCs/>
        </w:rPr>
      </w:pPr>
    </w:p>
    <w:p w:rsidR="00A11332" w:rsidRDefault="00A11332">
      <w:pPr>
        <w:pStyle w:val="Heading1"/>
      </w:pPr>
      <w:r>
        <w:t>For visits by Foreign Nationals</w:t>
      </w:r>
    </w:p>
    <w:p w:rsidR="00A11332" w:rsidRDefault="00A11332">
      <w:pPr>
        <w:ind w:left="360"/>
        <w:rPr>
          <w:rFonts w:ascii="Arial" w:hAnsi="Arial"/>
          <w:bCs/>
        </w:rPr>
      </w:pPr>
      <w:r>
        <w:rPr>
          <w:rFonts w:ascii="Arial" w:hAnsi="Arial"/>
          <w:bCs/>
        </w:rPr>
        <w:t>The Export Manager should be consulted prior to the company visit to assure compliance to the Export Administration Regulations.  When deemed necessary, proper licensing will be required prior to the visit.  Within one week from completion of the visit or as identified by the Export Manager (ref SM013), the PCB host shall provide a written visit report summarizing details of the visit, including but not limited to:</w:t>
      </w:r>
    </w:p>
    <w:p w:rsidR="00A11332" w:rsidRDefault="00A11332">
      <w:pPr>
        <w:numPr>
          <w:ilvl w:val="0"/>
          <w:numId w:val="1"/>
        </w:numPr>
        <w:rPr>
          <w:rFonts w:ascii="Arial" w:hAnsi="Arial"/>
          <w:bCs/>
        </w:rPr>
      </w:pPr>
      <w:r>
        <w:rPr>
          <w:rFonts w:ascii="Arial" w:hAnsi="Arial"/>
          <w:bCs/>
        </w:rPr>
        <w:t>Topics of discussion</w:t>
      </w:r>
    </w:p>
    <w:p w:rsidR="00A11332" w:rsidRDefault="00A11332">
      <w:pPr>
        <w:numPr>
          <w:ilvl w:val="0"/>
          <w:numId w:val="1"/>
        </w:numPr>
        <w:rPr>
          <w:rFonts w:ascii="Arial" w:hAnsi="Arial"/>
          <w:bCs/>
        </w:rPr>
      </w:pPr>
      <w:r>
        <w:rPr>
          <w:rFonts w:ascii="Arial" w:hAnsi="Arial"/>
          <w:bCs/>
        </w:rPr>
        <w:t>Areas toured by the visitor</w:t>
      </w:r>
    </w:p>
    <w:p w:rsidR="00A11332" w:rsidRDefault="00A11332">
      <w:pPr>
        <w:numPr>
          <w:ilvl w:val="0"/>
          <w:numId w:val="1"/>
        </w:numPr>
        <w:rPr>
          <w:rFonts w:ascii="Arial" w:hAnsi="Arial"/>
          <w:bCs/>
        </w:rPr>
      </w:pPr>
      <w:r>
        <w:rPr>
          <w:rFonts w:ascii="Arial" w:hAnsi="Arial"/>
          <w:bCs/>
        </w:rPr>
        <w:t xml:space="preserve">PCB employees who took part in the discussions. </w:t>
      </w:r>
    </w:p>
    <w:p w:rsidR="00A11332" w:rsidRDefault="00A11332">
      <w:pPr>
        <w:rPr>
          <w:rFonts w:ascii="Arial" w:hAnsi="Arial"/>
          <w:bCs/>
        </w:rPr>
      </w:pPr>
    </w:p>
    <w:p w:rsidR="00A11332" w:rsidRDefault="00A11332">
      <w:pPr>
        <w:ind w:left="360"/>
        <w:rPr>
          <w:rFonts w:ascii="Arial" w:hAnsi="Arial"/>
          <w:bCs/>
        </w:rPr>
      </w:pPr>
      <w:r>
        <w:rPr>
          <w:rFonts w:ascii="Arial" w:hAnsi="Arial"/>
          <w:bCs/>
        </w:rPr>
        <w:t>The Export Manager will call a follow-up meeting if further visit review is needed.</w:t>
      </w:r>
    </w:p>
    <w:p w:rsidR="00A11332" w:rsidRDefault="00A11332">
      <w:pPr>
        <w:tabs>
          <w:tab w:val="left" w:pos="720"/>
        </w:tabs>
        <w:ind w:left="360" w:hanging="360"/>
        <w:rPr>
          <w:rFonts w:ascii="Arial" w:hAnsi="Arial"/>
          <w:bCs/>
        </w:rPr>
      </w:pPr>
    </w:p>
    <w:p w:rsidR="00A11332" w:rsidRDefault="00A11332">
      <w:pPr>
        <w:tabs>
          <w:tab w:val="left" w:pos="720"/>
        </w:tabs>
        <w:ind w:left="360" w:hanging="360"/>
        <w:rPr>
          <w:rFonts w:ascii="Arial" w:hAnsi="Arial"/>
          <w:bCs/>
        </w:rPr>
      </w:pPr>
      <w:r>
        <w:rPr>
          <w:rFonts w:ascii="Arial" w:hAnsi="Arial"/>
          <w:bCs/>
        </w:rPr>
        <w:tab/>
        <w:t>The Export Manager will create a folder to be identified with Customer Name, Company, and date of visit.  The folder will be stored within the Export Managers working area.</w:t>
      </w:r>
    </w:p>
    <w:p w:rsidR="00A11332" w:rsidRDefault="00A11332">
      <w:pPr>
        <w:tabs>
          <w:tab w:val="left" w:pos="720"/>
        </w:tabs>
        <w:ind w:left="360" w:hanging="360"/>
        <w:rPr>
          <w:rFonts w:ascii="Arial" w:hAnsi="Arial"/>
          <w:bCs/>
        </w:rPr>
      </w:pPr>
    </w:p>
    <w:p w:rsidR="00A11332" w:rsidRDefault="00A11332">
      <w:pPr>
        <w:tabs>
          <w:tab w:val="left" w:pos="720"/>
        </w:tabs>
        <w:ind w:left="360" w:hanging="360"/>
        <w:rPr>
          <w:rFonts w:ascii="Arial" w:hAnsi="Arial"/>
          <w:bCs/>
        </w:rPr>
      </w:pPr>
      <w:r>
        <w:rPr>
          <w:rFonts w:ascii="Arial" w:hAnsi="Arial"/>
          <w:bCs/>
        </w:rPr>
        <w:t xml:space="preserve">      The visit folder will remain on file for a period of 5 years from the date of visit.</w:t>
      </w:r>
    </w:p>
    <w:p w:rsidR="00A11332" w:rsidRDefault="00A11332">
      <w:pPr>
        <w:tabs>
          <w:tab w:val="left" w:pos="720"/>
        </w:tabs>
        <w:ind w:left="360" w:hanging="360"/>
        <w:rPr>
          <w:rFonts w:ascii="Arial" w:hAnsi="Arial"/>
        </w:rPr>
      </w:pPr>
      <w:bookmarkStart w:id="1" w:name="procedure"/>
      <w:bookmarkEnd w:id="1"/>
    </w:p>
    <w:p w:rsidR="00A11332" w:rsidRDefault="00A11332">
      <w:pPr>
        <w:tabs>
          <w:tab w:val="left" w:pos="720"/>
        </w:tabs>
        <w:ind w:left="360" w:hanging="360"/>
        <w:rPr>
          <w:rFonts w:ascii="Arial" w:hAnsi="Arial"/>
          <w:sz w:val="24"/>
        </w:rPr>
      </w:pPr>
      <w:r>
        <w:rPr>
          <w:rFonts w:ascii="Arial" w:hAnsi="Arial"/>
          <w:b/>
          <w:sz w:val="24"/>
        </w:rPr>
        <w:t>Referenced Documents:</w:t>
      </w:r>
    </w:p>
    <w:p w:rsidR="00A11332" w:rsidRDefault="00A11332">
      <w:pPr>
        <w:tabs>
          <w:tab w:val="left" w:pos="720"/>
        </w:tabs>
        <w:ind w:left="360" w:hanging="360"/>
        <w:rPr>
          <w:rFonts w:ascii="Arial" w:hAnsi="Arial"/>
        </w:rPr>
      </w:pPr>
      <w:r>
        <w:rPr>
          <w:rFonts w:ascii="Arial" w:hAnsi="Arial"/>
        </w:rPr>
        <w:tab/>
        <w:t xml:space="preserve">SM013, SM1012 </w:t>
      </w:r>
    </w:p>
    <w:p w:rsidR="00A11332" w:rsidRDefault="00A11332">
      <w:pPr>
        <w:tabs>
          <w:tab w:val="left" w:pos="720"/>
        </w:tabs>
        <w:ind w:left="360" w:hanging="360"/>
        <w:rPr>
          <w:rFonts w:ascii="Arial" w:hAnsi="Arial"/>
        </w:rPr>
      </w:pPr>
    </w:p>
    <w:p w:rsidR="00A11332" w:rsidRPr="00B46267" w:rsidRDefault="00A11332" w:rsidP="00B46267">
      <w:pPr>
        <w:ind w:left="360" w:hanging="360"/>
        <w:rPr>
          <w:rFonts w:ascii="Arial" w:hAnsi="Arial"/>
        </w:rPr>
      </w:pPr>
      <w:r>
        <w:rPr>
          <w:rFonts w:ascii="Arial" w:hAnsi="Arial"/>
          <w:b/>
          <w:sz w:val="24"/>
        </w:rPr>
        <w:t xml:space="preserve">Unusual Conditions:   </w:t>
      </w:r>
      <w:r>
        <w:rPr>
          <w:rFonts w:ascii="Arial" w:hAnsi="Arial"/>
          <w:bCs/>
        </w:rPr>
        <w:t>None</w:t>
      </w:r>
    </w:p>
    <w:sectPr w:rsidR="00A11332" w:rsidRPr="00B46267">
      <w:headerReference w:type="default" r:id="rId7"/>
      <w:footerReference w:type="default" r:id="rId8"/>
      <w:pgSz w:w="12240" w:h="15840"/>
      <w:pgMar w:top="2160" w:right="1440" w:bottom="1872"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557" w:rsidRDefault="00932557">
      <w:r>
        <w:separator/>
      </w:r>
    </w:p>
  </w:endnote>
  <w:endnote w:type="continuationSeparator" w:id="0">
    <w:p w:rsidR="00932557" w:rsidRDefault="0093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cbnew">
    <w:panose1 w:val="00000400000000000000"/>
    <w:charset w:val="02"/>
    <w:family w:val="auto"/>
    <w:pitch w:val="fixed"/>
    <w:sig w:usb0="00000000" w:usb1="10000000" w:usb2="00000000" w:usb3="00000000" w:csb0="80000000" w:csb1="00000000"/>
  </w:font>
  <w:font w:name="PCB">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037"/>
      <w:gridCol w:w="1040"/>
      <w:gridCol w:w="1040"/>
      <w:gridCol w:w="1238"/>
      <w:gridCol w:w="1040"/>
      <w:gridCol w:w="1040"/>
      <w:gridCol w:w="1190"/>
      <w:gridCol w:w="2080"/>
    </w:tblGrid>
    <w:tr w:rsidR="00A11332">
      <w:trPr>
        <w:cantSplit/>
        <w:trHeight w:hRule="exact" w:val="360"/>
        <w:jc w:val="center"/>
      </w:trPr>
      <w:tc>
        <w:tcPr>
          <w:tcW w:w="1037" w:type="dxa"/>
          <w:tcBorders>
            <w:top w:val="double" w:sz="6" w:space="0" w:color="auto"/>
            <w:left w:val="double" w:sz="6" w:space="0" w:color="auto"/>
            <w:bottom w:val="single" w:sz="6" w:space="0" w:color="auto"/>
            <w:right w:val="single" w:sz="6" w:space="0" w:color="auto"/>
          </w:tcBorders>
        </w:tcPr>
        <w:p w:rsidR="00A11332" w:rsidRDefault="00A11332">
          <w:pPr>
            <w:pStyle w:val="Footer"/>
            <w:rPr>
              <w:sz w:val="14"/>
            </w:rPr>
          </w:pPr>
          <w:r>
            <w:rPr>
              <w:sz w:val="14"/>
            </w:rPr>
            <w:t>DRAWN</w:t>
          </w:r>
        </w:p>
      </w:tc>
      <w:tc>
        <w:tcPr>
          <w:tcW w:w="1040" w:type="dxa"/>
          <w:tcBorders>
            <w:top w:val="double" w:sz="6" w:space="0" w:color="auto"/>
            <w:left w:val="single" w:sz="6" w:space="0" w:color="auto"/>
            <w:bottom w:val="single" w:sz="6" w:space="0" w:color="auto"/>
            <w:right w:val="single" w:sz="6" w:space="0" w:color="auto"/>
          </w:tcBorders>
        </w:tcPr>
        <w:p w:rsidR="00A11332" w:rsidRDefault="00A11332">
          <w:pPr>
            <w:pStyle w:val="Footer"/>
            <w:rPr>
              <w:sz w:val="14"/>
            </w:rPr>
          </w:pPr>
        </w:p>
      </w:tc>
      <w:tc>
        <w:tcPr>
          <w:tcW w:w="1040" w:type="dxa"/>
          <w:tcBorders>
            <w:top w:val="double" w:sz="6" w:space="0" w:color="auto"/>
            <w:left w:val="single" w:sz="6" w:space="0" w:color="auto"/>
            <w:bottom w:val="single" w:sz="6" w:space="0" w:color="auto"/>
            <w:right w:val="single" w:sz="6" w:space="0" w:color="auto"/>
          </w:tcBorders>
        </w:tcPr>
        <w:p w:rsidR="00A11332" w:rsidRDefault="00A11332">
          <w:pPr>
            <w:pStyle w:val="Footer"/>
            <w:rPr>
              <w:sz w:val="14"/>
            </w:rPr>
          </w:pPr>
        </w:p>
      </w:tc>
      <w:tc>
        <w:tcPr>
          <w:tcW w:w="1238" w:type="dxa"/>
          <w:tcBorders>
            <w:top w:val="double" w:sz="6" w:space="0" w:color="auto"/>
            <w:left w:val="single" w:sz="6" w:space="0" w:color="auto"/>
            <w:bottom w:val="single" w:sz="6" w:space="0" w:color="auto"/>
            <w:right w:val="single" w:sz="6" w:space="0" w:color="auto"/>
          </w:tcBorders>
        </w:tcPr>
        <w:p w:rsidR="00A11332" w:rsidRDefault="00A11332">
          <w:pPr>
            <w:pStyle w:val="Footer"/>
            <w:rPr>
              <w:sz w:val="14"/>
            </w:rPr>
          </w:pPr>
          <w:r>
            <w:rPr>
              <w:sz w:val="14"/>
            </w:rPr>
            <w:t>APPROVED</w:t>
          </w:r>
        </w:p>
      </w:tc>
      <w:tc>
        <w:tcPr>
          <w:tcW w:w="1040" w:type="dxa"/>
          <w:tcBorders>
            <w:top w:val="double" w:sz="6" w:space="0" w:color="auto"/>
            <w:left w:val="single" w:sz="6" w:space="0" w:color="auto"/>
            <w:bottom w:val="single" w:sz="6" w:space="0" w:color="auto"/>
            <w:right w:val="single" w:sz="6" w:space="0" w:color="auto"/>
          </w:tcBorders>
        </w:tcPr>
        <w:p w:rsidR="00A11332" w:rsidRDefault="00A11332">
          <w:pPr>
            <w:pStyle w:val="Footer"/>
            <w:rPr>
              <w:sz w:val="14"/>
            </w:rPr>
          </w:pPr>
        </w:p>
      </w:tc>
      <w:tc>
        <w:tcPr>
          <w:tcW w:w="1040" w:type="dxa"/>
          <w:tcBorders>
            <w:top w:val="double" w:sz="6" w:space="0" w:color="auto"/>
            <w:left w:val="single" w:sz="6" w:space="0" w:color="auto"/>
            <w:bottom w:val="single" w:sz="6" w:space="0" w:color="auto"/>
            <w:right w:val="single" w:sz="6" w:space="0" w:color="auto"/>
          </w:tcBorders>
        </w:tcPr>
        <w:p w:rsidR="00A11332" w:rsidRDefault="00A11332">
          <w:pPr>
            <w:pStyle w:val="Footer"/>
            <w:rPr>
              <w:sz w:val="14"/>
            </w:rPr>
          </w:pPr>
        </w:p>
      </w:tc>
      <w:tc>
        <w:tcPr>
          <w:tcW w:w="1190" w:type="dxa"/>
          <w:tcBorders>
            <w:top w:val="double" w:sz="6" w:space="0" w:color="auto"/>
            <w:left w:val="single" w:sz="6" w:space="0" w:color="auto"/>
            <w:bottom w:val="single" w:sz="6" w:space="0" w:color="auto"/>
          </w:tcBorders>
        </w:tcPr>
        <w:p w:rsidR="00A11332" w:rsidRDefault="00A11332">
          <w:pPr>
            <w:pStyle w:val="Footer"/>
            <w:rPr>
              <w:sz w:val="14"/>
            </w:rPr>
          </w:pPr>
          <w:r>
            <w:rPr>
              <w:sz w:val="14"/>
            </w:rPr>
            <w:t>PROCEDURE #</w:t>
          </w:r>
        </w:p>
      </w:tc>
      <w:tc>
        <w:tcPr>
          <w:tcW w:w="2080" w:type="dxa"/>
          <w:tcBorders>
            <w:top w:val="double" w:sz="6" w:space="0" w:color="auto"/>
            <w:left w:val="single" w:sz="6" w:space="0" w:color="auto"/>
            <w:bottom w:val="single" w:sz="6" w:space="0" w:color="auto"/>
            <w:right w:val="double" w:sz="6" w:space="0" w:color="auto"/>
          </w:tcBorders>
        </w:tcPr>
        <w:p w:rsidR="00A11332" w:rsidRDefault="00A11332">
          <w:pPr>
            <w:pStyle w:val="Footer"/>
            <w:rPr>
              <w:sz w:val="14"/>
            </w:rPr>
          </w:pPr>
          <w:r>
            <w:rPr>
              <w:sz w:val="14"/>
            </w:rPr>
            <w:t>SM1013</w:t>
          </w:r>
        </w:p>
        <w:p w:rsidR="00A11332" w:rsidRDefault="00A11332">
          <w:pPr>
            <w:pStyle w:val="Footer"/>
            <w:rPr>
              <w:sz w:val="14"/>
            </w:rPr>
          </w:pPr>
        </w:p>
      </w:tc>
    </w:tr>
    <w:tr w:rsidR="00A11332">
      <w:trPr>
        <w:cantSplit/>
        <w:trHeight w:hRule="exact" w:val="360"/>
        <w:jc w:val="center"/>
      </w:trPr>
      <w:tc>
        <w:tcPr>
          <w:tcW w:w="1037" w:type="dxa"/>
          <w:tcBorders>
            <w:top w:val="single" w:sz="6" w:space="0" w:color="auto"/>
            <w:left w:val="double" w:sz="6" w:space="0" w:color="auto"/>
            <w:bottom w:val="double" w:sz="6" w:space="0" w:color="auto"/>
            <w:right w:val="single" w:sz="6" w:space="0" w:color="auto"/>
          </w:tcBorders>
        </w:tcPr>
        <w:p w:rsidR="00A11332" w:rsidRDefault="00A11332">
          <w:pPr>
            <w:pStyle w:val="Footer"/>
            <w:rPr>
              <w:sz w:val="14"/>
            </w:rPr>
          </w:pPr>
          <w:r>
            <w:rPr>
              <w:sz w:val="14"/>
            </w:rPr>
            <w:t>CHECKED</w:t>
          </w:r>
        </w:p>
      </w:tc>
      <w:tc>
        <w:tcPr>
          <w:tcW w:w="1040" w:type="dxa"/>
          <w:tcBorders>
            <w:top w:val="single" w:sz="6" w:space="0" w:color="auto"/>
            <w:left w:val="single" w:sz="6" w:space="0" w:color="auto"/>
            <w:bottom w:val="double" w:sz="6" w:space="0" w:color="auto"/>
            <w:right w:val="single" w:sz="6" w:space="0" w:color="auto"/>
          </w:tcBorders>
        </w:tcPr>
        <w:p w:rsidR="00A11332" w:rsidRDefault="00A11332">
          <w:pPr>
            <w:pStyle w:val="Footer"/>
            <w:rPr>
              <w:sz w:val="14"/>
            </w:rPr>
          </w:pPr>
        </w:p>
      </w:tc>
      <w:tc>
        <w:tcPr>
          <w:tcW w:w="1040" w:type="dxa"/>
          <w:tcBorders>
            <w:top w:val="single" w:sz="6" w:space="0" w:color="auto"/>
            <w:left w:val="single" w:sz="6" w:space="0" w:color="auto"/>
            <w:bottom w:val="double" w:sz="6" w:space="0" w:color="auto"/>
            <w:right w:val="single" w:sz="6" w:space="0" w:color="auto"/>
          </w:tcBorders>
        </w:tcPr>
        <w:p w:rsidR="00A11332" w:rsidRDefault="00A11332">
          <w:pPr>
            <w:pStyle w:val="Footer"/>
            <w:rPr>
              <w:sz w:val="14"/>
            </w:rPr>
          </w:pPr>
        </w:p>
      </w:tc>
      <w:tc>
        <w:tcPr>
          <w:tcW w:w="1238" w:type="dxa"/>
          <w:tcBorders>
            <w:top w:val="single" w:sz="6" w:space="0" w:color="auto"/>
            <w:left w:val="single" w:sz="6" w:space="0" w:color="auto"/>
            <w:bottom w:val="double" w:sz="6" w:space="0" w:color="auto"/>
            <w:right w:val="single" w:sz="6" w:space="0" w:color="auto"/>
          </w:tcBorders>
        </w:tcPr>
        <w:p w:rsidR="00A11332" w:rsidRDefault="00A11332">
          <w:pPr>
            <w:pStyle w:val="Footer"/>
            <w:rPr>
              <w:sz w:val="14"/>
            </w:rPr>
          </w:pPr>
          <w:r>
            <w:rPr>
              <w:sz w:val="14"/>
            </w:rPr>
            <w:t>RELEASED</w:t>
          </w:r>
        </w:p>
      </w:tc>
      <w:tc>
        <w:tcPr>
          <w:tcW w:w="1040" w:type="dxa"/>
          <w:tcBorders>
            <w:top w:val="single" w:sz="6" w:space="0" w:color="auto"/>
            <w:left w:val="single" w:sz="6" w:space="0" w:color="auto"/>
            <w:bottom w:val="double" w:sz="6" w:space="0" w:color="auto"/>
            <w:right w:val="single" w:sz="6" w:space="0" w:color="auto"/>
          </w:tcBorders>
        </w:tcPr>
        <w:p w:rsidR="00A11332" w:rsidRDefault="00A11332">
          <w:pPr>
            <w:pStyle w:val="Footer"/>
            <w:rPr>
              <w:sz w:val="14"/>
            </w:rPr>
          </w:pPr>
        </w:p>
      </w:tc>
      <w:tc>
        <w:tcPr>
          <w:tcW w:w="1040" w:type="dxa"/>
          <w:tcBorders>
            <w:top w:val="single" w:sz="6" w:space="0" w:color="auto"/>
            <w:left w:val="single" w:sz="6" w:space="0" w:color="auto"/>
            <w:bottom w:val="double" w:sz="6" w:space="0" w:color="auto"/>
            <w:right w:val="single" w:sz="6" w:space="0" w:color="auto"/>
          </w:tcBorders>
        </w:tcPr>
        <w:p w:rsidR="00A11332" w:rsidRDefault="00A11332">
          <w:pPr>
            <w:pStyle w:val="Footer"/>
            <w:rPr>
              <w:sz w:val="14"/>
            </w:rPr>
          </w:pPr>
        </w:p>
      </w:tc>
      <w:tc>
        <w:tcPr>
          <w:tcW w:w="1190" w:type="dxa"/>
          <w:tcBorders>
            <w:top w:val="single" w:sz="6" w:space="0" w:color="auto"/>
            <w:left w:val="single" w:sz="6" w:space="0" w:color="auto"/>
            <w:bottom w:val="double" w:sz="6" w:space="0" w:color="auto"/>
          </w:tcBorders>
        </w:tcPr>
        <w:p w:rsidR="00A11332" w:rsidRDefault="00A11332">
          <w:pPr>
            <w:pStyle w:val="Footer"/>
            <w:rPr>
              <w:sz w:val="14"/>
            </w:rPr>
          </w:pPr>
          <w:r>
            <w:rPr>
              <w:sz w:val="14"/>
            </w:rPr>
            <w:t>REVISION</w:t>
          </w:r>
        </w:p>
      </w:tc>
      <w:tc>
        <w:tcPr>
          <w:tcW w:w="2080" w:type="dxa"/>
          <w:tcBorders>
            <w:top w:val="single" w:sz="6" w:space="0" w:color="auto"/>
            <w:left w:val="single" w:sz="6" w:space="0" w:color="auto"/>
            <w:bottom w:val="double" w:sz="6" w:space="0" w:color="auto"/>
            <w:right w:val="double" w:sz="6" w:space="0" w:color="auto"/>
          </w:tcBorders>
        </w:tcPr>
        <w:p w:rsidR="00A11332" w:rsidRDefault="00A11332">
          <w:pPr>
            <w:pStyle w:val="Footer"/>
            <w:rPr>
              <w:sz w:val="14"/>
            </w:rPr>
          </w:pPr>
          <w:r>
            <w:rPr>
              <w:sz w:val="14"/>
            </w:rPr>
            <w:t>NR</w:t>
          </w:r>
        </w:p>
        <w:p w:rsidR="00A11332" w:rsidRDefault="00A11332">
          <w:pPr>
            <w:pStyle w:val="Footer"/>
          </w:pPr>
        </w:p>
      </w:tc>
    </w:tr>
  </w:tbl>
  <w:p w:rsidR="00A11332" w:rsidRDefault="00E42DE9">
    <w:pPr>
      <w:pStyle w:val="Footer"/>
      <w:tabs>
        <w:tab w:val="left" w:pos="4320"/>
      </w:tabs>
    </w:pPr>
    <w:r>
      <w:rPr>
        <w:sz w:val="16"/>
      </w:rPr>
      <w:t>D0001.0016</w:t>
    </w:r>
    <w:r>
      <w:rPr>
        <w:sz w:val="16"/>
      </w:rPr>
      <w:tab/>
    </w:r>
    <w:r w:rsidR="008B24B9">
      <w:rPr>
        <w:sz w:val="16"/>
      </w:rPr>
      <w:tab/>
      <w:t>Rev B</w:t>
    </w:r>
    <w:r w:rsidR="00A11332">
      <w:rPr>
        <w:sz w:val="16"/>
      </w:rPr>
      <w:tab/>
    </w:r>
    <w:r w:rsidR="00A11332">
      <w:rPr>
        <w:sz w:val="16"/>
      </w:rPr>
      <w:tab/>
    </w:r>
    <w:smartTag w:uri="urn:schemas-microsoft-com:office:smarttags" w:element="stockticker">
      <w:r w:rsidR="00A11332">
        <w:t>PAGE</w:t>
      </w:r>
    </w:smartTag>
    <w:r w:rsidR="00A11332">
      <w:t xml:space="preserve"> </w:t>
    </w:r>
    <w:r w:rsidR="00A11332">
      <w:fldChar w:fldCharType="begin"/>
    </w:r>
    <w:r w:rsidR="00A11332">
      <w:instrText>PAGE</w:instrText>
    </w:r>
    <w:r w:rsidR="00A11332">
      <w:fldChar w:fldCharType="separate"/>
    </w:r>
    <w:r w:rsidR="00B46267">
      <w:rPr>
        <w:noProof/>
      </w:rPr>
      <w:t>1</w:t>
    </w:r>
    <w:r w:rsidR="00A11332">
      <w:fldChar w:fldCharType="end"/>
    </w:r>
    <w:r w:rsidR="00A11332">
      <w:t xml:space="preserve"> OF </w:t>
    </w:r>
    <w:r w:rsidR="00A11332">
      <w:fldChar w:fldCharType="begin"/>
    </w:r>
    <w:r w:rsidR="00A11332">
      <w:instrText>numpages</w:instrText>
    </w:r>
    <w:r w:rsidR="00A11332">
      <w:fldChar w:fldCharType="separate"/>
    </w:r>
    <w:r w:rsidR="00B46267">
      <w:rPr>
        <w:noProof/>
      </w:rPr>
      <w:t>1</w:t>
    </w:r>
    <w:r w:rsidR="00A1133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557" w:rsidRDefault="00932557">
      <w:r>
        <w:separator/>
      </w:r>
    </w:p>
  </w:footnote>
  <w:footnote w:type="continuationSeparator" w:id="0">
    <w:p w:rsidR="00932557" w:rsidRDefault="0093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332" w:rsidRDefault="00A11332">
    <w:pPr>
      <w:framePr w:w="2592" w:h="1066" w:hSpace="187" w:wrap="around" w:vAnchor="page" w:hAnchor="page" w:x="8634" w:y="721"/>
      <w:jc w:val="both"/>
      <w:rPr>
        <w:rFonts w:ascii="Arial" w:hAnsi="Arial"/>
        <w:sz w:val="10"/>
      </w:rPr>
    </w:pPr>
    <w:r>
      <w:rPr>
        <w:rFonts w:ascii="Arial" w:hAnsi="Arial"/>
        <w:sz w:val="10"/>
      </w:rPr>
      <w:t xml:space="preserve">PCB PIEZOTRONICS, INC. CLAIMS PROPRIETARY RIGHTS IN THE INFORMATION DISCLOSED HEREON.  THIS INFORMATION IS FURNISHED IN CONFIDENCE ON THE EXPRESS UNDERSTANDING THAT NEITHER IT </w:t>
    </w:r>
    <w:smartTag w:uri="urn:schemas-microsoft-com:office:smarttags" w:element="stockticker">
      <w:r>
        <w:rPr>
          <w:rFonts w:ascii="Arial" w:hAnsi="Arial"/>
          <w:sz w:val="10"/>
        </w:rPr>
        <w:t>NOR</w:t>
      </w:r>
    </w:smartTag>
    <w:r>
      <w:rPr>
        <w:rFonts w:ascii="Arial" w:hAnsi="Arial"/>
        <w:sz w:val="10"/>
      </w:rPr>
      <w:t xml:space="preserve"> ANY REPRODUCTION THEREOF WILL BE DISCLOSED TO OTHERS OR USED FOR ANY PURPOSE NOT EXPRESSLY AGREED UPON BY PCB PIEZOTRONICS, INC.</w:t>
    </w:r>
  </w:p>
  <w:p w:rsidR="00A11332" w:rsidRDefault="00A11332">
    <w:pPr>
      <w:pStyle w:val="Header"/>
      <w:framePr w:w="4513" w:h="703" w:hRule="exact" w:wrap="around" w:vAnchor="page" w:hAnchor="page" w:x="1009" w:y="577"/>
      <w:rPr>
        <w:rFonts w:ascii="PCB" w:hAnsi="PCB"/>
        <w:caps/>
        <w:sz w:val="72"/>
      </w:rPr>
    </w:pPr>
    <w:r>
      <w:rPr>
        <w:rFonts w:ascii="pcbnew" w:hAnsi="pcbnew"/>
        <w:caps/>
        <w:sz w:val="56"/>
      </w:rPr>
      <w:t></w:t>
    </w:r>
  </w:p>
  <w:p w:rsidR="00A11332" w:rsidRDefault="00A11332">
    <w:pPr>
      <w:tabs>
        <w:tab w:val="right" w:leader="underscore" w:pos="10800"/>
      </w:tabs>
      <w:rPr>
        <w:rFonts w:ascii="Arial" w:hAnsi="Arial"/>
        <w:sz w:val="10"/>
      </w:rPr>
    </w:pPr>
  </w:p>
  <w:p w:rsidR="00A11332" w:rsidRDefault="00A11332">
    <w:pPr>
      <w:pStyle w:val="Header"/>
    </w:pPr>
  </w:p>
  <w:p w:rsidR="00A11332" w:rsidRDefault="00A11332">
    <w:pPr>
      <w:pStyle w:val="Header"/>
    </w:pPr>
  </w:p>
  <w:p w:rsidR="00A11332" w:rsidRDefault="00A11332">
    <w:pPr>
      <w:framePr w:w="5260" w:h="0" w:hSpace="180" w:wrap="around" w:vAnchor="text" w:hAnchor="page" w:x="2593" w:y="150"/>
      <w:rPr>
        <w:rFonts w:ascii="Arial" w:hAnsi="Arial"/>
        <w:b/>
        <w:sz w:val="24"/>
      </w:rPr>
    </w:pPr>
    <w:r>
      <w:rPr>
        <w:rFonts w:ascii="Arial" w:hAnsi="Arial"/>
        <w:b/>
        <w:sz w:val="28"/>
      </w:rPr>
      <w:t>STANDARD OPERATING PROCEDURE</w:t>
    </w:r>
  </w:p>
  <w:p w:rsidR="00A11332" w:rsidRDefault="00A11332">
    <w:pPr>
      <w:pStyle w:val="Header"/>
    </w:pPr>
  </w:p>
  <w:p w:rsidR="00A11332" w:rsidRDefault="00A11332">
    <w:pPr>
      <w:pStyle w:val="Header"/>
    </w:pPr>
  </w:p>
  <w:tbl>
    <w:tblPr>
      <w:tblW w:w="0" w:type="auto"/>
      <w:tblLayout w:type="fixed"/>
      <w:tblLook w:val="0000" w:firstRow="0" w:lastRow="0" w:firstColumn="0" w:lastColumn="0" w:noHBand="0" w:noVBand="0"/>
    </w:tblPr>
    <w:tblGrid>
      <w:gridCol w:w="10080"/>
    </w:tblGrid>
    <w:tr w:rsidR="00A11332">
      <w:trPr>
        <w:cantSplit/>
        <w:trHeight w:hRule="exact" w:val="80"/>
      </w:trPr>
      <w:tc>
        <w:tcPr>
          <w:tcW w:w="10080" w:type="dxa"/>
          <w:tcBorders>
            <w:top w:val="single" w:sz="24" w:space="0" w:color="auto"/>
            <w:bottom w:val="single" w:sz="6" w:space="0" w:color="auto"/>
          </w:tcBorders>
        </w:tcPr>
        <w:p w:rsidR="00A11332" w:rsidRDefault="00A11332">
          <w:pPr>
            <w:pStyle w:val="Header"/>
            <w:framePr w:w="9792" w:hSpace="187" w:wrap="around" w:vAnchor="text" w:hAnchor="page" w:x="1268" w:y="131"/>
            <w:rPr>
              <w:sz w:val="16"/>
            </w:rPr>
          </w:pPr>
        </w:p>
      </w:tc>
    </w:tr>
  </w:tbl>
  <w:p w:rsidR="00A11332" w:rsidRDefault="00A11332">
    <w:pPr>
      <w:pStyle w:val="Header"/>
      <w:rPr>
        <w:sz w:val="18"/>
      </w:rPr>
    </w:pPr>
  </w:p>
  <w:p w:rsidR="00A11332" w:rsidRDefault="00A11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5E30"/>
    <w:multiLevelType w:val="hybridMultilevel"/>
    <w:tmpl w:val="332C967C"/>
    <w:lvl w:ilvl="0" w:tplc="1A1891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E9"/>
    <w:rsid w:val="000A687C"/>
    <w:rsid w:val="00826D4F"/>
    <w:rsid w:val="00833C62"/>
    <w:rsid w:val="008B24B9"/>
    <w:rsid w:val="00932557"/>
    <w:rsid w:val="00A11332"/>
    <w:rsid w:val="00B46267"/>
    <w:rsid w:val="00E4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3657DB5"/>
  <w15:chartTrackingRefBased/>
  <w15:docId w15:val="{EA19DD38-1F2D-4A6B-A709-BF478EF1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3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Bajak</dc:creator>
  <cp:keywords/>
  <dc:description/>
  <cp:lastModifiedBy>Dave Rosen</cp:lastModifiedBy>
  <cp:revision>4</cp:revision>
  <dcterms:created xsi:type="dcterms:W3CDTF">2021-02-15T22:50:00Z</dcterms:created>
  <dcterms:modified xsi:type="dcterms:W3CDTF">2021-02-15T23:26:00Z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