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06" w:rsidRDefault="00F15F06" w:rsidP="00F15F06">
      <w:pPr>
        <w:pStyle w:val="Heading3"/>
      </w:pPr>
      <w:r>
        <w:t>Inventory Transfers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  <w:b/>
        </w:rPr>
        <w:t>1.0</w:t>
      </w:r>
      <w:r>
        <w:rPr>
          <w:rFonts w:ascii="Arial" w:hAnsi="Arial"/>
          <w:b/>
        </w:rPr>
        <w:tab/>
        <w:t>PURPOSE AND SCOPE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</w:rPr>
        <w:t xml:space="preserve">The purpose of this document is to establish how </w:t>
      </w:r>
      <w:r w:rsidR="00F83CB2">
        <w:rPr>
          <w:rFonts w:ascii="Arial" w:hAnsi="Arial"/>
        </w:rPr>
        <w:t>item</w:t>
      </w:r>
      <w:r>
        <w:rPr>
          <w:rFonts w:ascii="Arial" w:hAnsi="Arial"/>
        </w:rPr>
        <w:t>s are to be transferred within the company in order to maintain an accurate count.</w:t>
      </w:r>
    </w:p>
    <w:p w:rsidR="00F15F06" w:rsidRDefault="00F15F06" w:rsidP="00F15F06">
      <w:pPr>
        <w:rPr>
          <w:rFonts w:ascii="Arial" w:hAnsi="Arial"/>
        </w:rPr>
      </w:pPr>
      <w:bookmarkStart w:id="0" w:name="_GoBack"/>
      <w:bookmarkEnd w:id="0"/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  <w:b/>
        </w:rPr>
        <w:t>2.0</w:t>
      </w:r>
      <w:r>
        <w:rPr>
          <w:rFonts w:ascii="Arial" w:hAnsi="Arial"/>
          <w:b/>
        </w:rPr>
        <w:tab/>
        <w:t>AFFECTED DEPARTMENTS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</w:rPr>
        <w:t>Logistics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  <w:t>REFERENCE DOCUMENTS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</w:rPr>
        <w:t xml:space="preserve">D0001.1102 ESD Guidelines </w:t>
      </w: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</w:rPr>
        <w:t>D0001.0010 Employee Handbook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  <w:b/>
        </w:rPr>
        <w:t>4.0</w:t>
      </w:r>
      <w:r>
        <w:rPr>
          <w:rFonts w:ascii="Arial" w:hAnsi="Arial"/>
          <w:b/>
        </w:rPr>
        <w:tab/>
        <w:t>RESPONSIBILITIES &amp; AUTHORITY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</w:rPr>
        <w:t>The Logistics Supervisor maintains authority o</w:t>
      </w:r>
      <w:r w:rsidR="00F83CB2">
        <w:rPr>
          <w:rFonts w:ascii="Arial" w:hAnsi="Arial"/>
        </w:rPr>
        <w:t>ver the physical transfer of item</w:t>
      </w:r>
      <w:r>
        <w:rPr>
          <w:rFonts w:ascii="Arial" w:hAnsi="Arial"/>
        </w:rPr>
        <w:t>s or products and the data entry into the BSD. All employees who work in the Logistics Department are required to follow this procedure.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  <w:b/>
        </w:rPr>
      </w:pP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  <w:b/>
        </w:rPr>
        <w:t>5.0</w:t>
      </w:r>
      <w:r>
        <w:rPr>
          <w:rFonts w:ascii="Arial" w:hAnsi="Arial"/>
          <w:b/>
        </w:rPr>
        <w:tab/>
        <w:t>DEFINITIONS</w:t>
      </w:r>
    </w:p>
    <w:p w:rsidR="00F15F06" w:rsidRDefault="00F15F06" w:rsidP="00F15F06">
      <w:pPr>
        <w:rPr>
          <w:rFonts w:ascii="Arial" w:hAnsi="Arial"/>
        </w:rPr>
      </w:pPr>
    </w:p>
    <w:p w:rsidR="00912FA1" w:rsidRDefault="00912FA1" w:rsidP="00F15F06">
      <w:pPr>
        <w:rPr>
          <w:rFonts w:ascii="Arial" w:hAnsi="Arial"/>
        </w:rPr>
      </w:pPr>
      <w:r>
        <w:rPr>
          <w:rFonts w:ascii="Arial" w:hAnsi="Arial"/>
        </w:rPr>
        <w:t xml:space="preserve">BSD – Business Systems Database </w:t>
      </w: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</w:rPr>
        <w:t>ESD - Electro-Static-Discharge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  <w:b/>
        </w:rPr>
      </w:pPr>
      <w:r>
        <w:rPr>
          <w:rFonts w:ascii="Arial" w:hAnsi="Arial"/>
          <w:b/>
        </w:rPr>
        <w:t>6.0</w:t>
      </w:r>
      <w:r>
        <w:rPr>
          <w:rFonts w:ascii="Arial" w:hAnsi="Arial"/>
          <w:b/>
        </w:rPr>
        <w:tab/>
        <w:t>SAFETY PRECAUTIONS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</w:rPr>
        <w:t>Consult area Supervisor for information on any area specific safety precautions.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  <w:b/>
        </w:rPr>
      </w:pPr>
      <w:r>
        <w:rPr>
          <w:rFonts w:ascii="Arial" w:hAnsi="Arial"/>
          <w:b/>
        </w:rPr>
        <w:t>7.0</w:t>
      </w:r>
      <w:r>
        <w:rPr>
          <w:rFonts w:ascii="Arial" w:hAnsi="Arial"/>
          <w:b/>
        </w:rPr>
        <w:tab/>
        <w:t>EQUIPMENT &amp; MATERIALS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</w:rPr>
        <w:t>BSD Software</w:t>
      </w: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</w:rPr>
        <w:t>Appropriate computer equipment and accessories as needed</w:t>
      </w: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</w:rPr>
        <w:t>Production Stock Movement Form (D0001.6038-1)</w:t>
      </w: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  <w:b/>
        </w:rPr>
        <w:lastRenderedPageBreak/>
        <w:t>8.0</w:t>
      </w:r>
      <w:r>
        <w:rPr>
          <w:rFonts w:ascii="Arial" w:hAnsi="Arial"/>
          <w:b/>
        </w:rPr>
        <w:tab/>
        <w:t>INSTRUCTIONS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</w:rPr>
        <w:t xml:space="preserve">Items or products are often transferred from one location to another. Transfers of items </w:t>
      </w:r>
      <w:r w:rsidR="00912FA1">
        <w:rPr>
          <w:rFonts w:ascii="Arial" w:hAnsi="Arial"/>
        </w:rPr>
        <w:t xml:space="preserve">or products </w:t>
      </w:r>
      <w:r>
        <w:rPr>
          <w:rFonts w:ascii="Arial" w:hAnsi="Arial"/>
        </w:rPr>
        <w:t xml:space="preserve">must be recorded.  Movement of items or products may include but is not limited to the following circumstances. 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Items or products may be brought to the Logistics area for transfer to an inventory or shipping location.</w:t>
      </w:r>
    </w:p>
    <w:p w:rsidR="00F15F06" w:rsidRDefault="00F15F06" w:rsidP="00F15F0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An Employee may request that an item or product be transferred to another part of the company.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</w:rPr>
        <w:t>The movement of items or products is recorded on the "Production Stock Movement" form to document the transaction.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</w:rPr>
        <w:t>The form includes:</w:t>
      </w:r>
    </w:p>
    <w:p w:rsidR="00F15F06" w:rsidRDefault="00F15F06" w:rsidP="00F15F06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Name of the person requesting the transaction</w:t>
      </w:r>
    </w:p>
    <w:p w:rsidR="00F15F06" w:rsidRDefault="00F15F06" w:rsidP="00F15F06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Date </w:t>
      </w:r>
    </w:p>
    <w:p w:rsidR="00F15F06" w:rsidRDefault="00F15F06" w:rsidP="00F15F06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Item number</w:t>
      </w:r>
    </w:p>
    <w:p w:rsidR="00F15F06" w:rsidRDefault="00F15F06" w:rsidP="00F15F06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Quantity </w:t>
      </w:r>
    </w:p>
    <w:p w:rsidR="005018C8" w:rsidRDefault="005018C8" w:rsidP="00F15F06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Serial number i</w:t>
      </w:r>
      <w:r w:rsidR="00E84528">
        <w:rPr>
          <w:rFonts w:ascii="Arial" w:hAnsi="Arial"/>
        </w:rPr>
        <w:t>f</w:t>
      </w:r>
      <w:r>
        <w:rPr>
          <w:rFonts w:ascii="Arial" w:hAnsi="Arial"/>
        </w:rPr>
        <w:t xml:space="preserve"> applicable</w:t>
      </w:r>
    </w:p>
    <w:p w:rsidR="00F15F06" w:rsidRDefault="00F15F06" w:rsidP="00F15F06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Inventory location(s) where </w:t>
      </w:r>
      <w:r w:rsidR="00F83CB2">
        <w:rPr>
          <w:rFonts w:ascii="Arial" w:hAnsi="Arial"/>
        </w:rPr>
        <w:t>item</w:t>
      </w:r>
      <w:r>
        <w:rPr>
          <w:rFonts w:ascii="Arial" w:hAnsi="Arial"/>
        </w:rPr>
        <w:t xml:space="preserve"> is being transferred from </w:t>
      </w:r>
    </w:p>
    <w:p w:rsidR="00F15F06" w:rsidRDefault="00F15F06" w:rsidP="00F15F06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 xml:space="preserve">Inventory location(s) where the </w:t>
      </w:r>
      <w:r w:rsidR="00F83CB2">
        <w:rPr>
          <w:rFonts w:ascii="Arial" w:hAnsi="Arial"/>
        </w:rPr>
        <w:t>item</w:t>
      </w:r>
      <w:r>
        <w:rPr>
          <w:rFonts w:ascii="Arial" w:hAnsi="Arial"/>
        </w:rPr>
        <w:t xml:space="preserve"> is being transferred to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</w:rPr>
        <w:t xml:space="preserve">The Logistics supervisor or </w:t>
      </w:r>
      <w:r w:rsidR="002653AB">
        <w:rPr>
          <w:rFonts w:ascii="Arial" w:hAnsi="Arial"/>
        </w:rPr>
        <w:t>designated Logistics Associate</w:t>
      </w:r>
      <w:r>
        <w:rPr>
          <w:rFonts w:ascii="Arial" w:hAnsi="Arial"/>
        </w:rPr>
        <w:t xml:space="preserve"> collects the forms and enters the information into the BSD software.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  <w:b/>
        </w:rPr>
        <w:t>9.0</w:t>
      </w:r>
      <w:r>
        <w:rPr>
          <w:rFonts w:ascii="Arial" w:hAnsi="Arial"/>
          <w:b/>
        </w:rPr>
        <w:tab/>
        <w:t>INSPECTION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</w:rPr>
        <w:t>The employee making the physical transfer of the item(s) or product(s) verifies that the transaction has been accurately recorded on the "Product Stock Movement" form.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  <w:b/>
        </w:rPr>
        <w:t>10.0</w:t>
      </w:r>
      <w:r>
        <w:rPr>
          <w:rFonts w:ascii="Arial" w:hAnsi="Arial"/>
          <w:b/>
        </w:rPr>
        <w:tab/>
        <w:t>RECORDS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</w:rPr>
        <w:t xml:space="preserve">The Production Stock Movement Forms are kept in Logistics for at least three months. An electronic history is kept in the BSD for at least one year. 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  <w:b/>
        </w:rPr>
      </w:pPr>
      <w:r>
        <w:rPr>
          <w:rFonts w:ascii="Arial" w:hAnsi="Arial"/>
          <w:b/>
        </w:rPr>
        <w:t>11.0</w:t>
      </w:r>
      <w:r>
        <w:rPr>
          <w:rFonts w:ascii="Arial" w:hAnsi="Arial"/>
          <w:b/>
        </w:rPr>
        <w:tab/>
        <w:t>DISTRIBUTION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</w:rPr>
        <w:t>Logistics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  <w:b/>
        </w:rPr>
      </w:pPr>
    </w:p>
    <w:p w:rsidR="00F15F06" w:rsidRDefault="00F15F06" w:rsidP="00F15F06">
      <w:pPr>
        <w:rPr>
          <w:rFonts w:ascii="Arial" w:hAnsi="Arial"/>
          <w:b/>
        </w:rPr>
      </w:pPr>
    </w:p>
    <w:p w:rsidR="00F15F06" w:rsidRDefault="00F15F06" w:rsidP="00F15F06">
      <w:pPr>
        <w:rPr>
          <w:rFonts w:ascii="Arial" w:hAnsi="Arial"/>
          <w:b/>
        </w:rPr>
      </w:pP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  <w:b/>
        </w:rPr>
        <w:lastRenderedPageBreak/>
        <w:t>12.0</w:t>
      </w:r>
      <w:r>
        <w:rPr>
          <w:rFonts w:ascii="Arial" w:hAnsi="Arial"/>
          <w:b/>
        </w:rPr>
        <w:tab/>
        <w:t>ATTACHMENTS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</w:rPr>
        <w:t>Production Stock Movement Form D0001.6038-1</w:t>
      </w: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  <w:r>
        <w:rPr>
          <w:rFonts w:ascii="Arial" w:hAnsi="Arial"/>
          <w:b/>
        </w:rPr>
        <w:t>13.0</w:t>
      </w:r>
      <w:r>
        <w:rPr>
          <w:rFonts w:ascii="Arial" w:hAnsi="Arial"/>
          <w:b/>
        </w:rPr>
        <w:tab/>
        <w:t>REVISION HISTORY</w:t>
      </w:r>
    </w:p>
    <w:p w:rsidR="00F15F06" w:rsidRDefault="00F15F06" w:rsidP="00F15F0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170"/>
        <w:gridCol w:w="1350"/>
        <w:gridCol w:w="5544"/>
      </w:tblGrid>
      <w:tr w:rsidR="00F15F06">
        <w:tc>
          <w:tcPr>
            <w:tcW w:w="1008" w:type="dxa"/>
          </w:tcPr>
          <w:p w:rsidR="00F15F06" w:rsidRDefault="00F15F06" w:rsidP="00686C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DCO #</w:t>
            </w:r>
          </w:p>
        </w:tc>
        <w:tc>
          <w:tcPr>
            <w:tcW w:w="720" w:type="dxa"/>
          </w:tcPr>
          <w:p w:rsidR="00F15F06" w:rsidRDefault="00F15F06" w:rsidP="00686C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</w:t>
            </w:r>
          </w:p>
        </w:tc>
        <w:tc>
          <w:tcPr>
            <w:tcW w:w="1170" w:type="dxa"/>
          </w:tcPr>
          <w:p w:rsidR="00F15F06" w:rsidRDefault="00F15F06" w:rsidP="00686C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350" w:type="dxa"/>
          </w:tcPr>
          <w:p w:rsidR="00F15F06" w:rsidRDefault="00F15F06" w:rsidP="00686C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544" w:type="dxa"/>
          </w:tcPr>
          <w:p w:rsidR="00F15F06" w:rsidRDefault="00F15F06" w:rsidP="00686C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CHANGES MADE</w:t>
            </w:r>
          </w:p>
        </w:tc>
      </w:tr>
      <w:tr w:rsidR="00F15F06">
        <w:tc>
          <w:tcPr>
            <w:tcW w:w="1008" w:type="dxa"/>
          </w:tcPr>
          <w:p w:rsidR="00F15F06" w:rsidRDefault="00F15F06" w:rsidP="00686CD5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F15F06" w:rsidRDefault="00F15F06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1170" w:type="dxa"/>
          </w:tcPr>
          <w:p w:rsidR="00F15F06" w:rsidRDefault="00F15F06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09/26/00</w:t>
            </w:r>
          </w:p>
        </w:tc>
        <w:tc>
          <w:tcPr>
            <w:tcW w:w="1350" w:type="dxa"/>
          </w:tcPr>
          <w:p w:rsidR="00F15F06" w:rsidRDefault="00F15F06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NJ</w:t>
            </w:r>
          </w:p>
        </w:tc>
        <w:tc>
          <w:tcPr>
            <w:tcW w:w="5544" w:type="dxa"/>
          </w:tcPr>
          <w:p w:rsidR="00F15F06" w:rsidRDefault="00F15F06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Added reference document #’s and info to where the stock movement form is kept and who is responsible to delete it.</w:t>
            </w:r>
          </w:p>
        </w:tc>
      </w:tr>
      <w:tr w:rsidR="00F15F06">
        <w:tc>
          <w:tcPr>
            <w:tcW w:w="1008" w:type="dxa"/>
          </w:tcPr>
          <w:p w:rsidR="00F15F06" w:rsidRDefault="00F15F06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456</w:t>
            </w:r>
          </w:p>
        </w:tc>
        <w:tc>
          <w:tcPr>
            <w:tcW w:w="720" w:type="dxa"/>
          </w:tcPr>
          <w:p w:rsidR="00F15F06" w:rsidRDefault="00F15F06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1170" w:type="dxa"/>
          </w:tcPr>
          <w:p w:rsidR="00F15F06" w:rsidRDefault="00F15F06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07/26/02</w:t>
            </w:r>
          </w:p>
        </w:tc>
        <w:tc>
          <w:tcPr>
            <w:tcW w:w="1350" w:type="dxa"/>
          </w:tcPr>
          <w:p w:rsidR="00F15F06" w:rsidRDefault="00F15F06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NJ</w:t>
            </w:r>
          </w:p>
        </w:tc>
        <w:tc>
          <w:tcPr>
            <w:tcW w:w="5544" w:type="dxa"/>
          </w:tcPr>
          <w:p w:rsidR="00F15F06" w:rsidRDefault="00F15F06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Changed to reference the Employee Handbook for the Safety policy.  Added on the transfer form to show the quantity of parts being moved locations.  And added that a Technician can also move the equipment between labs or other locations.</w:t>
            </w:r>
          </w:p>
        </w:tc>
      </w:tr>
      <w:tr w:rsidR="00F15F06">
        <w:tc>
          <w:tcPr>
            <w:tcW w:w="1008" w:type="dxa"/>
          </w:tcPr>
          <w:p w:rsidR="00F15F06" w:rsidRDefault="003224D9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570</w:t>
            </w:r>
          </w:p>
        </w:tc>
        <w:tc>
          <w:tcPr>
            <w:tcW w:w="720" w:type="dxa"/>
          </w:tcPr>
          <w:p w:rsidR="00F15F06" w:rsidRDefault="00F15F06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1170" w:type="dxa"/>
          </w:tcPr>
          <w:p w:rsidR="00F15F06" w:rsidRDefault="00F15F06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7/16/03</w:t>
            </w:r>
          </w:p>
        </w:tc>
        <w:tc>
          <w:tcPr>
            <w:tcW w:w="1350" w:type="dxa"/>
          </w:tcPr>
          <w:p w:rsidR="00F15F06" w:rsidRDefault="00F15F06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JEB</w:t>
            </w:r>
          </w:p>
        </w:tc>
        <w:tc>
          <w:tcPr>
            <w:tcW w:w="5544" w:type="dxa"/>
          </w:tcPr>
          <w:p w:rsidR="00F15F06" w:rsidRDefault="00F15F06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Minor edits, converted to a work instruction.  D0001.1038 to D0001.6038.</w:t>
            </w:r>
          </w:p>
        </w:tc>
      </w:tr>
      <w:tr w:rsidR="00F15F06">
        <w:tc>
          <w:tcPr>
            <w:tcW w:w="1008" w:type="dxa"/>
          </w:tcPr>
          <w:p w:rsidR="00F15F06" w:rsidRDefault="003224D9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1221</w:t>
            </w:r>
          </w:p>
        </w:tc>
        <w:tc>
          <w:tcPr>
            <w:tcW w:w="720" w:type="dxa"/>
          </w:tcPr>
          <w:p w:rsidR="00F15F06" w:rsidRDefault="00F15F06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1170" w:type="dxa"/>
          </w:tcPr>
          <w:p w:rsidR="00F15F06" w:rsidRDefault="00F15F06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6/</w:t>
            </w:r>
            <w:r w:rsidR="006255EC">
              <w:rPr>
                <w:rFonts w:ascii="Arial" w:hAnsi="Arial"/>
              </w:rPr>
              <w:t>17</w:t>
            </w:r>
            <w:r>
              <w:rPr>
                <w:rFonts w:ascii="Arial" w:hAnsi="Arial"/>
              </w:rPr>
              <w:t>/09</w:t>
            </w:r>
          </w:p>
        </w:tc>
        <w:tc>
          <w:tcPr>
            <w:tcW w:w="1350" w:type="dxa"/>
          </w:tcPr>
          <w:p w:rsidR="00F15F06" w:rsidRDefault="00F15F06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MRF</w:t>
            </w:r>
          </w:p>
        </w:tc>
        <w:tc>
          <w:tcPr>
            <w:tcW w:w="5544" w:type="dxa"/>
          </w:tcPr>
          <w:p w:rsidR="00F15F06" w:rsidRDefault="00F15F06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Minor updates</w:t>
            </w:r>
          </w:p>
        </w:tc>
      </w:tr>
      <w:tr w:rsidR="00F15F06">
        <w:tc>
          <w:tcPr>
            <w:tcW w:w="1008" w:type="dxa"/>
          </w:tcPr>
          <w:p w:rsidR="00F15F06" w:rsidRDefault="0023129A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2006</w:t>
            </w:r>
          </w:p>
        </w:tc>
        <w:tc>
          <w:tcPr>
            <w:tcW w:w="720" w:type="dxa"/>
          </w:tcPr>
          <w:p w:rsidR="00F15F06" w:rsidRDefault="005018C8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1170" w:type="dxa"/>
          </w:tcPr>
          <w:p w:rsidR="00F15F06" w:rsidRDefault="005018C8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11/16/20</w:t>
            </w:r>
          </w:p>
        </w:tc>
        <w:tc>
          <w:tcPr>
            <w:tcW w:w="1350" w:type="dxa"/>
          </w:tcPr>
          <w:p w:rsidR="00F15F06" w:rsidRDefault="005018C8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NJ</w:t>
            </w:r>
          </w:p>
        </w:tc>
        <w:tc>
          <w:tcPr>
            <w:tcW w:w="5544" w:type="dxa"/>
          </w:tcPr>
          <w:p w:rsidR="00F15F06" w:rsidRDefault="005018C8" w:rsidP="00686C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Updated to add serial number section to form D0001.6038-1</w:t>
            </w:r>
          </w:p>
        </w:tc>
      </w:tr>
      <w:tr w:rsidR="00F15F06">
        <w:tc>
          <w:tcPr>
            <w:tcW w:w="1008" w:type="dxa"/>
          </w:tcPr>
          <w:p w:rsidR="00F15F06" w:rsidRDefault="00F15F06" w:rsidP="00686CD5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F15F06" w:rsidRDefault="00F15F06" w:rsidP="00686CD5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F15F06" w:rsidRDefault="00F15F06" w:rsidP="00686CD5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F15F06" w:rsidRDefault="00F15F06" w:rsidP="00686CD5">
            <w:pPr>
              <w:rPr>
                <w:rFonts w:ascii="Arial" w:hAnsi="Arial"/>
              </w:rPr>
            </w:pPr>
          </w:p>
        </w:tc>
        <w:tc>
          <w:tcPr>
            <w:tcW w:w="5544" w:type="dxa"/>
          </w:tcPr>
          <w:p w:rsidR="00F15F06" w:rsidRDefault="00F15F06" w:rsidP="00686CD5">
            <w:pPr>
              <w:rPr>
                <w:rFonts w:ascii="Arial" w:hAnsi="Arial"/>
              </w:rPr>
            </w:pPr>
          </w:p>
        </w:tc>
      </w:tr>
      <w:tr w:rsidR="00F15F06">
        <w:tc>
          <w:tcPr>
            <w:tcW w:w="1008" w:type="dxa"/>
          </w:tcPr>
          <w:p w:rsidR="00F15F06" w:rsidRDefault="00F15F06" w:rsidP="00686CD5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F15F06" w:rsidRDefault="00F15F06" w:rsidP="00686CD5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F15F06" w:rsidRDefault="00F15F06" w:rsidP="00686CD5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F15F06" w:rsidRDefault="00F15F06" w:rsidP="00686CD5">
            <w:pPr>
              <w:rPr>
                <w:rFonts w:ascii="Arial" w:hAnsi="Arial"/>
              </w:rPr>
            </w:pPr>
          </w:p>
        </w:tc>
        <w:tc>
          <w:tcPr>
            <w:tcW w:w="5544" w:type="dxa"/>
          </w:tcPr>
          <w:p w:rsidR="00F15F06" w:rsidRDefault="00F15F06" w:rsidP="00686CD5">
            <w:pPr>
              <w:rPr>
                <w:rFonts w:ascii="Arial" w:hAnsi="Arial"/>
              </w:rPr>
            </w:pPr>
          </w:p>
        </w:tc>
      </w:tr>
      <w:tr w:rsidR="00F15F06">
        <w:tc>
          <w:tcPr>
            <w:tcW w:w="1008" w:type="dxa"/>
          </w:tcPr>
          <w:p w:rsidR="00F15F06" w:rsidRDefault="00F15F06" w:rsidP="00686CD5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F15F06" w:rsidRDefault="00F15F06" w:rsidP="00686CD5">
            <w:pPr>
              <w:rPr>
                <w:rFonts w:ascii="Arial" w:hAnsi="Arial"/>
              </w:rPr>
            </w:pPr>
          </w:p>
        </w:tc>
        <w:tc>
          <w:tcPr>
            <w:tcW w:w="1170" w:type="dxa"/>
          </w:tcPr>
          <w:p w:rsidR="00F15F06" w:rsidRDefault="00F15F06" w:rsidP="00686CD5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F15F06" w:rsidRDefault="00F15F06" w:rsidP="00686CD5">
            <w:pPr>
              <w:rPr>
                <w:rFonts w:ascii="Arial" w:hAnsi="Arial"/>
              </w:rPr>
            </w:pPr>
          </w:p>
        </w:tc>
        <w:tc>
          <w:tcPr>
            <w:tcW w:w="5544" w:type="dxa"/>
          </w:tcPr>
          <w:p w:rsidR="00F15F06" w:rsidRDefault="00F15F06" w:rsidP="00686CD5">
            <w:pPr>
              <w:rPr>
                <w:rFonts w:ascii="Arial" w:hAnsi="Arial"/>
              </w:rPr>
            </w:pPr>
          </w:p>
        </w:tc>
      </w:tr>
    </w:tbl>
    <w:p w:rsidR="00F15F06" w:rsidRDefault="00F15F06" w:rsidP="00F15F06">
      <w:pPr>
        <w:rPr>
          <w:rFonts w:ascii="Arial" w:hAnsi="Arial"/>
        </w:rPr>
      </w:pPr>
    </w:p>
    <w:p w:rsidR="00F15F06" w:rsidRDefault="00F15F06" w:rsidP="00F15F06">
      <w:pPr>
        <w:rPr>
          <w:rFonts w:ascii="Arial" w:hAnsi="Arial"/>
        </w:rPr>
      </w:pPr>
    </w:p>
    <w:p w:rsidR="004876CF" w:rsidRDefault="004876CF"/>
    <w:sectPr w:rsidR="004876CF">
      <w:headerReference w:type="default" r:id="rId8"/>
      <w:footerReference w:type="default" r:id="rId9"/>
      <w:pgSz w:w="12240" w:h="15840"/>
      <w:pgMar w:top="1440" w:right="1008" w:bottom="1008" w:left="144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0D" w:rsidRDefault="00B11F0D">
      <w:r>
        <w:separator/>
      </w:r>
    </w:p>
  </w:endnote>
  <w:endnote w:type="continuationSeparator" w:id="0">
    <w:p w:rsidR="00B11F0D" w:rsidRDefault="00B1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115" w:rsidRDefault="00361115">
    <w:pPr>
      <w:pStyle w:val="Footer"/>
      <w:jc w:val="center"/>
      <w:rPr>
        <w:rFonts w:ascii="Arial" w:hAnsi="Arial"/>
        <w:sz w:val="20"/>
      </w:rPr>
    </w:pPr>
    <w:r>
      <w:rPr>
        <w:rStyle w:val="PageNumber"/>
        <w:rFonts w:ascii="Arial" w:hAnsi="Arial"/>
        <w:snapToGrid w:val="0"/>
        <w:sz w:val="20"/>
      </w:rPr>
      <w:t xml:space="preserve">Page </w:t>
    </w:r>
    <w:r>
      <w:rPr>
        <w:rStyle w:val="PageNumber"/>
        <w:rFonts w:ascii="Arial" w:hAnsi="Arial"/>
        <w:snapToGrid w:val="0"/>
        <w:sz w:val="20"/>
      </w:rPr>
      <w:fldChar w:fldCharType="begin"/>
    </w:r>
    <w:r>
      <w:rPr>
        <w:rStyle w:val="PageNumber"/>
        <w:rFonts w:ascii="Arial" w:hAnsi="Arial"/>
        <w:snapToGrid w:val="0"/>
        <w:sz w:val="20"/>
      </w:rPr>
      <w:instrText xml:space="preserve"> PAGE </w:instrText>
    </w:r>
    <w:r>
      <w:rPr>
        <w:rStyle w:val="PageNumber"/>
        <w:rFonts w:ascii="Arial" w:hAnsi="Arial"/>
        <w:snapToGrid w:val="0"/>
        <w:sz w:val="20"/>
      </w:rPr>
      <w:fldChar w:fldCharType="separate"/>
    </w:r>
    <w:r w:rsidR="00353798">
      <w:rPr>
        <w:rStyle w:val="PageNumber"/>
        <w:rFonts w:ascii="Arial" w:hAnsi="Arial"/>
        <w:noProof/>
        <w:snapToGrid w:val="0"/>
        <w:sz w:val="20"/>
      </w:rPr>
      <w:t>1</w:t>
    </w:r>
    <w:r>
      <w:rPr>
        <w:rStyle w:val="PageNumber"/>
        <w:rFonts w:ascii="Arial" w:hAnsi="Arial"/>
        <w:snapToGrid w:val="0"/>
        <w:sz w:val="20"/>
      </w:rPr>
      <w:fldChar w:fldCharType="end"/>
    </w:r>
    <w:r>
      <w:rPr>
        <w:rStyle w:val="PageNumber"/>
        <w:rFonts w:ascii="Arial" w:hAnsi="Arial"/>
        <w:snapToGrid w:val="0"/>
        <w:sz w:val="20"/>
      </w:rPr>
      <w:t xml:space="preserve"> of </w:t>
    </w:r>
    <w:r>
      <w:rPr>
        <w:rStyle w:val="PageNumber"/>
        <w:rFonts w:ascii="Arial" w:hAnsi="Arial"/>
        <w:snapToGrid w:val="0"/>
        <w:sz w:val="20"/>
      </w:rPr>
      <w:fldChar w:fldCharType="begin"/>
    </w:r>
    <w:r>
      <w:rPr>
        <w:rStyle w:val="PageNumber"/>
        <w:rFonts w:ascii="Arial" w:hAnsi="Arial"/>
        <w:snapToGrid w:val="0"/>
        <w:sz w:val="20"/>
      </w:rPr>
      <w:instrText xml:space="preserve"> NUMPAGES </w:instrText>
    </w:r>
    <w:r>
      <w:rPr>
        <w:rStyle w:val="PageNumber"/>
        <w:rFonts w:ascii="Arial" w:hAnsi="Arial"/>
        <w:snapToGrid w:val="0"/>
        <w:sz w:val="20"/>
      </w:rPr>
      <w:fldChar w:fldCharType="separate"/>
    </w:r>
    <w:r w:rsidR="00353798">
      <w:rPr>
        <w:rStyle w:val="PageNumber"/>
        <w:rFonts w:ascii="Arial" w:hAnsi="Arial"/>
        <w:noProof/>
        <w:snapToGrid w:val="0"/>
        <w:sz w:val="20"/>
      </w:rPr>
      <w:t>3</w:t>
    </w:r>
    <w:r>
      <w:rPr>
        <w:rStyle w:val="PageNumber"/>
        <w:rFonts w:ascii="Arial" w:hAnsi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0D" w:rsidRDefault="00B11F0D">
      <w:r>
        <w:separator/>
      </w:r>
    </w:p>
  </w:footnote>
  <w:footnote w:type="continuationSeparator" w:id="0">
    <w:p w:rsidR="00B11F0D" w:rsidRDefault="00B1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115" w:rsidRDefault="00361115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Title: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Inventory Transfers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 xml:space="preserve">Author: </w:t>
    </w:r>
    <w:smartTag w:uri="urn:schemas-microsoft-com:office:smarttags" w:element="PersonName">
      <w:r>
        <w:rPr>
          <w:rFonts w:ascii="Arial" w:hAnsi="Arial"/>
          <w:sz w:val="20"/>
        </w:rPr>
        <w:t>Natalie Jarvis</w:t>
      </w:r>
    </w:smartTag>
  </w:p>
  <w:p w:rsidR="00361115" w:rsidRDefault="00361115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DOC Number:</w:t>
    </w:r>
    <w:r>
      <w:rPr>
        <w:rFonts w:ascii="Arial" w:hAnsi="Arial"/>
        <w:sz w:val="20"/>
      </w:rPr>
      <w:tab/>
      <w:t>D0001.6038</w:t>
    </w:r>
  </w:p>
  <w:p w:rsidR="00361115" w:rsidRDefault="00361115">
    <w:pPr>
      <w:pStyle w:val="Header"/>
      <w:pBdr>
        <w:bottom w:val="single" w:sz="12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</w:t>
    </w:r>
    <w:r>
      <w:rPr>
        <w:rFonts w:ascii="Arial" w:hAnsi="Arial"/>
        <w:sz w:val="20"/>
      </w:rPr>
      <w:tab/>
    </w:r>
    <w:r w:rsidR="005018C8">
      <w:rPr>
        <w:rFonts w:ascii="Arial" w:hAnsi="Arial"/>
        <w:sz w:val="20"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7FA9"/>
    <w:multiLevelType w:val="singleLevel"/>
    <w:tmpl w:val="27987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FD64F0"/>
    <w:multiLevelType w:val="singleLevel"/>
    <w:tmpl w:val="27987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formatting="1" w:enforcement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06"/>
    <w:rsid w:val="001C3C10"/>
    <w:rsid w:val="0023129A"/>
    <w:rsid w:val="002546B6"/>
    <w:rsid w:val="002653AB"/>
    <w:rsid w:val="003224D9"/>
    <w:rsid w:val="00353798"/>
    <w:rsid w:val="00361115"/>
    <w:rsid w:val="004876CF"/>
    <w:rsid w:val="005018C8"/>
    <w:rsid w:val="005428AC"/>
    <w:rsid w:val="00622A27"/>
    <w:rsid w:val="006255EC"/>
    <w:rsid w:val="006363E0"/>
    <w:rsid w:val="00686CD5"/>
    <w:rsid w:val="007277F1"/>
    <w:rsid w:val="007B11E5"/>
    <w:rsid w:val="007B7E52"/>
    <w:rsid w:val="00860781"/>
    <w:rsid w:val="008A5ACB"/>
    <w:rsid w:val="00912FA1"/>
    <w:rsid w:val="00915E30"/>
    <w:rsid w:val="00B11F0D"/>
    <w:rsid w:val="00C45E49"/>
    <w:rsid w:val="00C752DF"/>
    <w:rsid w:val="00CA1641"/>
    <w:rsid w:val="00DB3111"/>
    <w:rsid w:val="00E84528"/>
    <w:rsid w:val="00F15F06"/>
    <w:rsid w:val="00F7118B"/>
    <w:rsid w:val="00F8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9E6F244F-E373-4E0E-84A6-8BF9D735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06"/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rsid w:val="00F15F06"/>
    <w:pPr>
      <w:keepNext/>
      <w:pBdr>
        <w:bottom w:val="single" w:sz="18" w:space="1" w:color="auto"/>
      </w:pBdr>
      <w:outlineLvl w:val="2"/>
    </w:pPr>
    <w:rPr>
      <w:rFonts w:ascii="Arial" w:hAnsi="Arial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5F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5F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5F06"/>
  </w:style>
  <w:style w:type="paragraph" w:styleId="BalloonText">
    <w:name w:val="Balloon Text"/>
    <w:basedOn w:val="Normal"/>
    <w:semiHidden/>
    <w:rsid w:val="002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80314-B1CF-4DE5-98A1-09E4AEC3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Inventory Transfers</vt:lpstr>
    </vt:vector>
  </TitlesOfParts>
  <Company>PCB Piezotronics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Inventory Transfers</dc:title>
  <dc:subject/>
  <dc:creator>mharris</dc:creator>
  <cp:keywords/>
  <dc:description/>
  <cp:lastModifiedBy>Linda Ball</cp:lastModifiedBy>
  <cp:revision>4</cp:revision>
  <dcterms:created xsi:type="dcterms:W3CDTF">2020-11-23T17:53:00Z</dcterms:created>
  <dcterms:modified xsi:type="dcterms:W3CDTF">2020-11-23T19:02:00Z</dcterms:modified>
</cp:coreProperties>
</file>