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C0" w:rsidRDefault="0025033A" w:rsidP="000045E8">
      <w:pPr>
        <w:pStyle w:val="Heading2"/>
        <w:rPr>
          <w:sz w:val="36"/>
        </w:rPr>
      </w:pPr>
      <w:bookmarkStart w:id="0" w:name="_GoBack"/>
      <w:bookmarkEnd w:id="0"/>
      <w:r>
        <w:t>COMPLIANCE WITH ACCREDITING BODY</w:t>
      </w:r>
    </w:p>
    <w:p w:rsidR="00583FC0" w:rsidRDefault="00583FC0">
      <w:pPr>
        <w:rPr>
          <w:rFonts w:ascii="Arial" w:hAnsi="Arial"/>
        </w:rPr>
      </w:pPr>
    </w:p>
    <w:p w:rsidR="00583FC0" w:rsidRDefault="00583FC0" w:rsidP="000045E8">
      <w:pPr>
        <w:pStyle w:val="Heading2"/>
      </w:pPr>
      <w:r>
        <w:t>1.0</w:t>
      </w:r>
      <w:r>
        <w:tab/>
      </w:r>
      <w:r>
        <w:tab/>
        <w:t>PURPOSE AND SCOPE</w:t>
      </w:r>
    </w:p>
    <w:p w:rsidR="00583FC0" w:rsidRDefault="0025033A" w:rsidP="000045E8">
      <w:r>
        <w:t xml:space="preserve">Larson Davis complies with Accreditation Bodies in accordance with their policies and reviews these policies when they are updated, changed, released, or obsoleted by the Accrediting Body. After review, Larson Davis modifies, corrects, or adjusts its own policies and processes to ensure compliance to the Accreditation Body's published policies. </w:t>
      </w:r>
    </w:p>
    <w:p w:rsidR="0025033A" w:rsidRDefault="0025033A" w:rsidP="000045E8"/>
    <w:p w:rsidR="0025033A" w:rsidRDefault="0025033A" w:rsidP="000045E8">
      <w:pPr>
        <w:rPr>
          <w:rFonts w:ascii="Arial" w:hAnsi="Arial"/>
        </w:rPr>
      </w:pPr>
      <w:r>
        <w:t xml:space="preserve">In the case of ISO/IEC 17025 Accreditation, Larson Davis uses A2LA as its Accrediting </w:t>
      </w:r>
      <w:r w:rsidR="00EF5B39">
        <w:t>Body. As required in section 4.1.2 of ISO 17025, this document lists the specific A2LA policies to which Larson Davis complies. Changes to these policies are carried out by A2LA and Larson Davis is notified by A2LA when such changes occur.</w:t>
      </w:r>
    </w:p>
    <w:p w:rsidR="00583FC0" w:rsidRDefault="00583FC0">
      <w:pPr>
        <w:rPr>
          <w:rFonts w:ascii="Arial" w:hAnsi="Arial"/>
          <w:b/>
        </w:rPr>
      </w:pPr>
    </w:p>
    <w:p w:rsidR="00583FC0" w:rsidRDefault="00583FC0" w:rsidP="000045E8">
      <w:pPr>
        <w:pStyle w:val="Heading2"/>
      </w:pPr>
      <w:r>
        <w:t>2.0</w:t>
      </w:r>
      <w:r>
        <w:tab/>
      </w:r>
      <w:r>
        <w:tab/>
        <w:t>AFFECTED DEPARTMENTS</w:t>
      </w:r>
    </w:p>
    <w:p w:rsidR="00583FC0" w:rsidRDefault="00583FC0">
      <w:pPr>
        <w:rPr>
          <w:rFonts w:ascii="Arial" w:hAnsi="Arial"/>
        </w:rPr>
      </w:pPr>
    </w:p>
    <w:p w:rsidR="00583FC0" w:rsidRDefault="00583FC0" w:rsidP="000045E8">
      <w:pPr>
        <w:pStyle w:val="ListParagraph"/>
      </w:pPr>
      <w:r>
        <w:t>Engineering</w:t>
      </w:r>
    </w:p>
    <w:p w:rsidR="00583FC0" w:rsidRDefault="00583FC0" w:rsidP="000045E8">
      <w:pPr>
        <w:pStyle w:val="ListParagraph"/>
      </w:pPr>
      <w:r>
        <w:t>Logistics</w:t>
      </w:r>
    </w:p>
    <w:p w:rsidR="00583FC0" w:rsidRDefault="00583FC0" w:rsidP="000045E8">
      <w:pPr>
        <w:pStyle w:val="ListParagraph"/>
      </w:pPr>
      <w:r>
        <w:t>Manufacturing</w:t>
      </w:r>
    </w:p>
    <w:p w:rsidR="00583FC0" w:rsidRDefault="00583FC0" w:rsidP="000045E8">
      <w:pPr>
        <w:pStyle w:val="ListParagraph"/>
      </w:pPr>
      <w:r>
        <w:t>Quality</w:t>
      </w:r>
    </w:p>
    <w:p w:rsidR="00583FC0" w:rsidRDefault="00583FC0">
      <w:pPr>
        <w:rPr>
          <w:rFonts w:ascii="Arial" w:hAnsi="Arial"/>
        </w:rPr>
      </w:pPr>
    </w:p>
    <w:p w:rsidR="00583FC0" w:rsidRDefault="00583FC0">
      <w:pPr>
        <w:rPr>
          <w:rFonts w:ascii="Arial" w:hAnsi="Arial"/>
        </w:rPr>
      </w:pPr>
    </w:p>
    <w:p w:rsidR="00D91531" w:rsidRDefault="00583FC0" w:rsidP="000045E8">
      <w:pPr>
        <w:pStyle w:val="Heading2"/>
      </w:pPr>
      <w:r>
        <w:t>3.0</w:t>
      </w:r>
      <w:r>
        <w:tab/>
      </w:r>
      <w:r>
        <w:tab/>
        <w:t>REFERENCE DOCUMENTS</w:t>
      </w:r>
    </w:p>
    <w:p w:rsidR="00D91531" w:rsidRPr="00D91531" w:rsidRDefault="00D91531"/>
    <w:p w:rsidR="00277FCE" w:rsidRDefault="00277FCE" w:rsidP="00277FCE">
      <w:r>
        <w:tab/>
        <w:t>ISO/IEC 17025</w:t>
      </w:r>
    </w:p>
    <w:p w:rsidR="00277FCE" w:rsidRDefault="00277FCE" w:rsidP="00277FCE">
      <w:pPr>
        <w:ind w:firstLine="360"/>
      </w:pPr>
      <w:r>
        <w:t>R101 - General Requirements: Accreditation of ISO/IEC 17025 Laboratories</w:t>
      </w:r>
    </w:p>
    <w:p w:rsidR="00277FCE" w:rsidRDefault="00277FCE" w:rsidP="00277FCE">
      <w:pPr>
        <w:ind w:firstLine="360"/>
      </w:pPr>
      <w:r>
        <w:t>R102 - Conditions for Accreditation</w:t>
      </w:r>
    </w:p>
    <w:p w:rsidR="00277FCE" w:rsidRDefault="00277FCE" w:rsidP="00277FCE">
      <w:pPr>
        <w:ind w:left="360"/>
      </w:pPr>
      <w:r>
        <w:t>R103 - General Requirements: Proficiency Testing for ISO/IEC 17025 Accredited Laboratories</w:t>
      </w:r>
    </w:p>
    <w:p w:rsidR="00277FCE" w:rsidRDefault="00277FCE" w:rsidP="00277FCE">
      <w:pPr>
        <w:ind w:firstLine="360"/>
      </w:pPr>
      <w:r>
        <w:t>R103a - Annex: Proficiency Testing for ISO/IEC 17025 Laboratories</w:t>
      </w:r>
    </w:p>
    <w:p w:rsidR="00277FCE" w:rsidRDefault="00277FCE" w:rsidP="00277FCE">
      <w:pPr>
        <w:ind w:firstLine="360"/>
      </w:pPr>
      <w:r>
        <w:t>R105 - Requirements When Making Reference to A2LA Accredited Status</w:t>
      </w:r>
    </w:p>
    <w:p w:rsidR="00277FCE" w:rsidRDefault="00277FCE" w:rsidP="00277FCE">
      <w:pPr>
        <w:ind w:firstLine="360"/>
      </w:pPr>
      <w:r>
        <w:t>P102 - A2LA Policy on Measurement Traceability</w:t>
      </w:r>
    </w:p>
    <w:p w:rsidR="00277FCE" w:rsidRDefault="00277FCE" w:rsidP="00277FCE">
      <w:pPr>
        <w:ind w:firstLine="360"/>
      </w:pPr>
      <w:r>
        <w:t>R205 - Specific Requirements: Calibration Laboratory Accreditation Program</w:t>
      </w:r>
    </w:p>
    <w:p w:rsidR="00277FCE" w:rsidRDefault="00277FCE" w:rsidP="00277FCE">
      <w:pPr>
        <w:ind w:left="360"/>
      </w:pPr>
      <w:r>
        <w:t>P104 - Policy for Claims of Measurement Uncertainties for On-Site Calibrations on Scopes of Accreditation</w:t>
      </w:r>
    </w:p>
    <w:p w:rsidR="00277FCE" w:rsidRDefault="00277FCE" w:rsidP="00277FCE">
      <w:pPr>
        <w:ind w:left="360"/>
      </w:pPr>
      <w:r>
        <w:t>P109 - Technical Consensus Decisions from the Measurement Advisory Committee</w:t>
      </w:r>
    </w:p>
    <w:p w:rsidR="00D91531" w:rsidRDefault="00277FCE" w:rsidP="00277FCE">
      <w:pPr>
        <w:ind w:left="360"/>
        <w:rPr>
          <w:rFonts w:ascii="Arial" w:hAnsi="Arial"/>
        </w:rPr>
      </w:pPr>
      <w:r>
        <w:t>R104 - General Requirements: Accreditation of Field Testing and Field Calibration Laboratories</w:t>
      </w:r>
    </w:p>
    <w:p w:rsidR="00583FC0" w:rsidRDefault="00583FC0">
      <w:pPr>
        <w:rPr>
          <w:rFonts w:ascii="Arial" w:hAnsi="Arial"/>
        </w:rPr>
      </w:pPr>
    </w:p>
    <w:p w:rsidR="00583FC0" w:rsidRDefault="00583FC0" w:rsidP="000045E8">
      <w:pPr>
        <w:pStyle w:val="Heading2"/>
      </w:pPr>
      <w:r>
        <w:t>4.0</w:t>
      </w:r>
      <w:r>
        <w:tab/>
      </w:r>
      <w:r>
        <w:tab/>
        <w:t>RESPONSIBILITIES &amp; AUTHORITY</w:t>
      </w:r>
    </w:p>
    <w:p w:rsidR="00583FC0" w:rsidRDefault="00583FC0">
      <w:pPr>
        <w:rPr>
          <w:rFonts w:ascii="Arial" w:hAnsi="Arial"/>
        </w:rPr>
      </w:pPr>
    </w:p>
    <w:p w:rsidR="00583FC0" w:rsidRDefault="00D91531">
      <w:pPr>
        <w:rPr>
          <w:rFonts w:ascii="Arial" w:hAnsi="Arial"/>
          <w:b/>
        </w:rPr>
      </w:pPr>
      <w:r>
        <w:t>The Quality Manager, Logistics Manager, Production Manager, Sales Manager, and Metrology Engineer have the responsibility to review changes to A2LA policy and determine if the policy changes affect their respective departments</w:t>
      </w:r>
      <w:r w:rsidR="00C77BE1">
        <w:t xml:space="preserve">. When such </w:t>
      </w:r>
      <w:r w:rsidR="00C77BE1">
        <w:lastRenderedPageBreak/>
        <w:t>policy changes require updates to procedures, the DCO process is initiated. Training is performed for affected departments even when a DCO is not released as a result of A2LA policy changes.</w:t>
      </w:r>
      <w:r>
        <w:t xml:space="preserve"> </w:t>
      </w:r>
    </w:p>
    <w:p w:rsidR="00583FC0" w:rsidRDefault="00583FC0" w:rsidP="000045E8">
      <w:pPr>
        <w:pStyle w:val="Heading2"/>
      </w:pPr>
    </w:p>
    <w:p w:rsidR="00583FC0" w:rsidRDefault="00583FC0" w:rsidP="000045E8">
      <w:pPr>
        <w:pStyle w:val="Heading2"/>
      </w:pPr>
      <w:r>
        <w:t>5.0</w:t>
      </w:r>
      <w:r>
        <w:tab/>
      </w:r>
      <w:r>
        <w:tab/>
        <w:t>DEFINITIONS</w:t>
      </w:r>
    </w:p>
    <w:p w:rsidR="00583FC0" w:rsidRDefault="00583FC0">
      <w:pPr>
        <w:rPr>
          <w:rFonts w:ascii="Arial" w:hAnsi="Arial"/>
        </w:rPr>
      </w:pPr>
    </w:p>
    <w:p w:rsidR="00C77BE1" w:rsidRPr="00C77BE1" w:rsidRDefault="00C77BE1" w:rsidP="000045E8">
      <w:pPr>
        <w:pStyle w:val="ListParagraph"/>
      </w:pPr>
      <w:r w:rsidRPr="00C77BE1">
        <w:t xml:space="preserve">Accreditation Body: An organization that evaluates and audits laboratories for </w:t>
      </w:r>
      <w:r w:rsidR="00AA32BD" w:rsidRPr="00C77BE1">
        <w:t>conformance</w:t>
      </w:r>
      <w:r w:rsidRPr="00C77BE1">
        <w:t xml:space="preserve"> to International Standards, such as A2LA, NVLAP, etc.</w:t>
      </w:r>
    </w:p>
    <w:p w:rsidR="00583FC0" w:rsidRDefault="00583FC0" w:rsidP="000045E8">
      <w:pPr>
        <w:pStyle w:val="ListParagraph"/>
      </w:pPr>
    </w:p>
    <w:p w:rsidR="00C77BE1" w:rsidRPr="00C77BE1" w:rsidRDefault="00C77BE1" w:rsidP="000045E8">
      <w:pPr>
        <w:pStyle w:val="ListParagraph"/>
      </w:pPr>
      <w:r w:rsidRPr="00C77BE1">
        <w:t>Conformity: Fulfillment of specified requirements.</w:t>
      </w:r>
    </w:p>
    <w:p w:rsidR="00C77BE1" w:rsidRDefault="00C77BE1" w:rsidP="000045E8">
      <w:pPr>
        <w:pStyle w:val="ListParagraph"/>
      </w:pPr>
    </w:p>
    <w:p w:rsidR="00C77BE1" w:rsidRPr="00C77BE1" w:rsidRDefault="00C77BE1" w:rsidP="000045E8">
      <w:pPr>
        <w:pStyle w:val="ListParagraph"/>
      </w:pPr>
      <w:r w:rsidRPr="00C77BE1">
        <w:t>LD:  Larson Davis a division of PCB Piezotronics, Inc.</w:t>
      </w:r>
    </w:p>
    <w:p w:rsidR="00C77BE1" w:rsidRPr="00C77BE1" w:rsidRDefault="00C77BE1" w:rsidP="000045E8">
      <w:pPr>
        <w:pStyle w:val="ListParagraph"/>
      </w:pPr>
    </w:p>
    <w:p w:rsidR="00C77BE1" w:rsidRPr="00C77BE1" w:rsidRDefault="00C77BE1" w:rsidP="000045E8">
      <w:pPr>
        <w:pStyle w:val="ListParagraph"/>
      </w:pPr>
      <w:r w:rsidRPr="00C77BE1">
        <w:t>Laboratory: The portion of the organization that calibrates and/or tests.</w:t>
      </w:r>
    </w:p>
    <w:p w:rsidR="00C77BE1" w:rsidRDefault="00C77BE1" w:rsidP="000045E8">
      <w:pPr>
        <w:pStyle w:val="ListParagraph"/>
      </w:pPr>
    </w:p>
    <w:p w:rsidR="00C77BE1" w:rsidRDefault="00C77BE1" w:rsidP="000045E8">
      <w:pPr>
        <w:pStyle w:val="ListParagraph"/>
        <w:rPr>
          <w:rFonts w:ascii="Arial" w:hAnsi="Arial"/>
        </w:rPr>
      </w:pPr>
      <w:r w:rsidRPr="00C77BE1">
        <w:t>Metrology: The science of measurements.</w:t>
      </w:r>
    </w:p>
    <w:p w:rsidR="00583FC0" w:rsidRDefault="00583FC0">
      <w:pPr>
        <w:rPr>
          <w:rFonts w:ascii="Arial" w:hAnsi="Arial"/>
        </w:rPr>
      </w:pPr>
    </w:p>
    <w:p w:rsidR="00583FC0" w:rsidRDefault="00583FC0" w:rsidP="000045E8">
      <w:pPr>
        <w:pStyle w:val="Heading2"/>
      </w:pPr>
      <w:r>
        <w:t>6.0</w:t>
      </w:r>
      <w:r>
        <w:tab/>
      </w:r>
      <w:r>
        <w:tab/>
        <w:t>SAFETY PRECAUTIONS</w:t>
      </w:r>
    </w:p>
    <w:p w:rsidR="00C77BE1" w:rsidRDefault="00C77BE1" w:rsidP="000045E8">
      <w:pPr>
        <w:pStyle w:val="ListParagraph"/>
      </w:pPr>
    </w:p>
    <w:p w:rsidR="00583FC0" w:rsidRDefault="00C77BE1" w:rsidP="000045E8">
      <w:pPr>
        <w:pStyle w:val="ListParagraph"/>
        <w:rPr>
          <w:rFonts w:ascii="Arial" w:hAnsi="Arial"/>
          <w:b/>
        </w:rPr>
      </w:pPr>
      <w:r>
        <w:t>None</w:t>
      </w:r>
    </w:p>
    <w:p w:rsidR="00583FC0" w:rsidRDefault="00583FC0">
      <w:pPr>
        <w:rPr>
          <w:rFonts w:ascii="Arial" w:hAnsi="Arial"/>
        </w:rPr>
      </w:pPr>
    </w:p>
    <w:p w:rsidR="00583FC0" w:rsidRDefault="00583FC0">
      <w:pPr>
        <w:rPr>
          <w:rFonts w:ascii="Arial" w:hAnsi="Arial"/>
        </w:rPr>
      </w:pPr>
    </w:p>
    <w:p w:rsidR="00583FC0" w:rsidRDefault="00583FC0" w:rsidP="000045E8">
      <w:pPr>
        <w:pStyle w:val="Heading2"/>
      </w:pPr>
      <w:r>
        <w:t>7.0</w:t>
      </w:r>
      <w:r>
        <w:tab/>
      </w:r>
      <w:r>
        <w:tab/>
        <w:t>EQUIPMENT &amp; MATERIALS</w:t>
      </w:r>
    </w:p>
    <w:p w:rsidR="00583FC0" w:rsidRDefault="00583FC0"/>
    <w:p w:rsidR="00C77BE1" w:rsidRDefault="00C77BE1" w:rsidP="000045E8">
      <w:pPr>
        <w:pStyle w:val="ListParagraph"/>
        <w:rPr>
          <w:rFonts w:ascii="Arial" w:hAnsi="Arial"/>
        </w:rPr>
      </w:pPr>
      <w:r>
        <w:t>None</w:t>
      </w:r>
    </w:p>
    <w:p w:rsidR="00583FC0" w:rsidRDefault="00583FC0">
      <w:pPr>
        <w:rPr>
          <w:rFonts w:ascii="Arial" w:hAnsi="Arial"/>
        </w:rPr>
      </w:pPr>
    </w:p>
    <w:p w:rsidR="00583FC0" w:rsidRDefault="00E95902" w:rsidP="000045E8">
      <w:pPr>
        <w:pStyle w:val="Heading2"/>
      </w:pPr>
      <w:r>
        <w:t>8.0</w:t>
      </w:r>
      <w:r w:rsidR="00583FC0">
        <w:tab/>
        <w:t>DISTRIBUTION</w:t>
      </w:r>
    </w:p>
    <w:p w:rsidR="00583FC0" w:rsidRDefault="00583FC0" w:rsidP="00E82D1D">
      <w:pPr>
        <w:numPr>
          <w:ilvl w:val="0"/>
          <w:numId w:val="35"/>
        </w:numPr>
        <w:rPr>
          <w:rFonts w:ascii="Arial" w:hAnsi="Arial"/>
        </w:rPr>
      </w:pPr>
      <w:r>
        <w:rPr>
          <w:rFonts w:ascii="Arial" w:hAnsi="Arial"/>
        </w:rPr>
        <w:t>Engineering</w:t>
      </w:r>
    </w:p>
    <w:p w:rsidR="00583FC0" w:rsidRDefault="00583FC0" w:rsidP="00E82D1D">
      <w:pPr>
        <w:numPr>
          <w:ilvl w:val="0"/>
          <w:numId w:val="35"/>
        </w:numPr>
        <w:rPr>
          <w:rFonts w:ascii="Arial" w:hAnsi="Arial"/>
        </w:rPr>
      </w:pPr>
      <w:r>
        <w:rPr>
          <w:rFonts w:ascii="Arial" w:hAnsi="Arial"/>
        </w:rPr>
        <w:t>Production</w:t>
      </w:r>
    </w:p>
    <w:p w:rsidR="00583FC0" w:rsidRDefault="00583FC0" w:rsidP="00E82D1D">
      <w:pPr>
        <w:numPr>
          <w:ilvl w:val="0"/>
          <w:numId w:val="35"/>
        </w:numPr>
        <w:rPr>
          <w:rFonts w:ascii="Arial" w:hAnsi="Arial"/>
        </w:rPr>
      </w:pPr>
      <w:r>
        <w:rPr>
          <w:rFonts w:ascii="Arial" w:hAnsi="Arial"/>
        </w:rPr>
        <w:t>Repair and Calibration</w:t>
      </w:r>
    </w:p>
    <w:p w:rsidR="00583FC0" w:rsidRDefault="00583FC0" w:rsidP="00E82D1D">
      <w:pPr>
        <w:numPr>
          <w:ilvl w:val="0"/>
          <w:numId w:val="35"/>
        </w:numPr>
        <w:rPr>
          <w:rFonts w:ascii="Arial" w:hAnsi="Arial"/>
        </w:rPr>
      </w:pPr>
      <w:r>
        <w:rPr>
          <w:rFonts w:ascii="Arial" w:hAnsi="Arial"/>
        </w:rPr>
        <w:t>Quality Assurance</w:t>
      </w:r>
    </w:p>
    <w:p w:rsidR="00583FC0" w:rsidRDefault="00C70D32" w:rsidP="000045E8">
      <w:pPr>
        <w:pStyle w:val="Heading2"/>
      </w:pPr>
      <w:r>
        <w:t xml:space="preserve"> </w:t>
      </w:r>
      <w:r>
        <w:tab/>
      </w:r>
      <w:r w:rsidR="00583FC0">
        <w:br w:type="page"/>
      </w:r>
      <w:r w:rsidR="00E95902">
        <w:lastRenderedPageBreak/>
        <w:t>9.0</w:t>
      </w:r>
      <w:r w:rsidR="00583FC0">
        <w:tab/>
        <w:t>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810"/>
        <w:gridCol w:w="1260"/>
        <w:gridCol w:w="1080"/>
        <w:gridCol w:w="5760"/>
      </w:tblGrid>
      <w:tr w:rsidR="00583FC0">
        <w:tc>
          <w:tcPr>
            <w:tcW w:w="1098" w:type="dxa"/>
          </w:tcPr>
          <w:p w:rsidR="00583FC0" w:rsidRDefault="00583FC0">
            <w:pPr>
              <w:jc w:val="center"/>
              <w:rPr>
                <w:rFonts w:ascii="Arial" w:hAnsi="Arial"/>
                <w:b/>
                <w:bCs/>
              </w:rPr>
            </w:pPr>
            <w:r>
              <w:rPr>
                <w:rFonts w:ascii="Arial" w:hAnsi="Arial"/>
                <w:b/>
                <w:bCs/>
              </w:rPr>
              <w:t>DCO #</w:t>
            </w:r>
          </w:p>
        </w:tc>
        <w:tc>
          <w:tcPr>
            <w:tcW w:w="810" w:type="dxa"/>
          </w:tcPr>
          <w:p w:rsidR="00583FC0" w:rsidRDefault="00583FC0">
            <w:pPr>
              <w:jc w:val="center"/>
              <w:rPr>
                <w:rFonts w:ascii="Arial" w:hAnsi="Arial"/>
                <w:b/>
                <w:bCs/>
              </w:rPr>
            </w:pPr>
            <w:r>
              <w:rPr>
                <w:rFonts w:ascii="Arial" w:hAnsi="Arial"/>
                <w:b/>
                <w:bCs/>
              </w:rPr>
              <w:t>REV</w:t>
            </w:r>
          </w:p>
        </w:tc>
        <w:tc>
          <w:tcPr>
            <w:tcW w:w="1260" w:type="dxa"/>
          </w:tcPr>
          <w:p w:rsidR="00583FC0" w:rsidRDefault="00583FC0">
            <w:pPr>
              <w:jc w:val="center"/>
              <w:rPr>
                <w:rFonts w:ascii="Arial" w:hAnsi="Arial"/>
                <w:b/>
                <w:bCs/>
              </w:rPr>
            </w:pPr>
            <w:r>
              <w:rPr>
                <w:rFonts w:ascii="Arial" w:hAnsi="Arial"/>
                <w:b/>
                <w:bCs/>
              </w:rPr>
              <w:t>DATE</w:t>
            </w:r>
          </w:p>
        </w:tc>
        <w:tc>
          <w:tcPr>
            <w:tcW w:w="1080" w:type="dxa"/>
          </w:tcPr>
          <w:p w:rsidR="00583FC0" w:rsidRDefault="00583FC0">
            <w:pPr>
              <w:jc w:val="center"/>
              <w:rPr>
                <w:rFonts w:ascii="Arial" w:hAnsi="Arial"/>
                <w:b/>
                <w:bCs/>
              </w:rPr>
            </w:pPr>
            <w:r>
              <w:rPr>
                <w:rFonts w:ascii="Arial" w:hAnsi="Arial"/>
                <w:b/>
                <w:bCs/>
              </w:rPr>
              <w:t>INITIAL</w:t>
            </w:r>
          </w:p>
        </w:tc>
        <w:tc>
          <w:tcPr>
            <w:tcW w:w="5760" w:type="dxa"/>
          </w:tcPr>
          <w:p w:rsidR="00583FC0" w:rsidRDefault="00583FC0">
            <w:pPr>
              <w:jc w:val="center"/>
              <w:rPr>
                <w:rFonts w:ascii="Arial" w:hAnsi="Arial"/>
                <w:b/>
                <w:bCs/>
              </w:rPr>
            </w:pPr>
            <w:r>
              <w:rPr>
                <w:rFonts w:ascii="Arial" w:hAnsi="Arial"/>
                <w:b/>
                <w:bCs/>
              </w:rPr>
              <w:t>CHANGES</w:t>
            </w:r>
          </w:p>
        </w:tc>
      </w:tr>
      <w:tr w:rsidR="00583FC0">
        <w:trPr>
          <w:trHeight w:val="368"/>
        </w:trPr>
        <w:tc>
          <w:tcPr>
            <w:tcW w:w="1098" w:type="dxa"/>
          </w:tcPr>
          <w:p w:rsidR="00583FC0" w:rsidRDefault="00A60952">
            <w:pPr>
              <w:rPr>
                <w:rFonts w:ascii="Arial" w:hAnsi="Arial"/>
              </w:rPr>
            </w:pPr>
            <w:r>
              <w:rPr>
                <w:rFonts w:ascii="Arial" w:hAnsi="Arial"/>
              </w:rPr>
              <w:t>1490</w:t>
            </w:r>
          </w:p>
        </w:tc>
        <w:tc>
          <w:tcPr>
            <w:tcW w:w="810" w:type="dxa"/>
          </w:tcPr>
          <w:p w:rsidR="00583FC0" w:rsidRDefault="00A60952">
            <w:pPr>
              <w:rPr>
                <w:rFonts w:ascii="Arial" w:hAnsi="Arial"/>
              </w:rPr>
            </w:pPr>
            <w:r>
              <w:t>A</w:t>
            </w:r>
          </w:p>
        </w:tc>
        <w:tc>
          <w:tcPr>
            <w:tcW w:w="1260" w:type="dxa"/>
          </w:tcPr>
          <w:p w:rsidR="00583FC0" w:rsidRDefault="00A60952">
            <w:pPr>
              <w:rPr>
                <w:rFonts w:ascii="Arial" w:hAnsi="Arial"/>
              </w:rPr>
            </w:pPr>
            <w:r>
              <w:t>5/1/14</w:t>
            </w:r>
          </w:p>
        </w:tc>
        <w:tc>
          <w:tcPr>
            <w:tcW w:w="1080" w:type="dxa"/>
          </w:tcPr>
          <w:p w:rsidR="00583FC0" w:rsidRDefault="0025033A">
            <w:pPr>
              <w:rPr>
                <w:rFonts w:ascii="Arial" w:hAnsi="Arial"/>
              </w:rPr>
            </w:pPr>
            <w:r>
              <w:t>SJA</w:t>
            </w:r>
          </w:p>
        </w:tc>
        <w:tc>
          <w:tcPr>
            <w:tcW w:w="5760" w:type="dxa"/>
          </w:tcPr>
          <w:p w:rsidR="00583FC0" w:rsidRDefault="0025033A" w:rsidP="0025033A">
            <w:pPr>
              <w:rPr>
                <w:rFonts w:ascii="Arial" w:hAnsi="Arial"/>
              </w:rPr>
            </w:pPr>
            <w:r>
              <w:t>Initial Release</w:t>
            </w:r>
          </w:p>
        </w:tc>
      </w:tr>
      <w:tr w:rsidR="00583FC0" w:rsidTr="0025033A">
        <w:trPr>
          <w:trHeight w:val="305"/>
        </w:trPr>
        <w:tc>
          <w:tcPr>
            <w:tcW w:w="1098" w:type="dxa"/>
          </w:tcPr>
          <w:p w:rsidR="00583FC0" w:rsidRDefault="00C70D32">
            <w:pPr>
              <w:rPr>
                <w:rFonts w:ascii="Arial" w:hAnsi="Arial"/>
              </w:rPr>
            </w:pPr>
            <w:r>
              <w:t>1560</w:t>
            </w:r>
          </w:p>
        </w:tc>
        <w:tc>
          <w:tcPr>
            <w:tcW w:w="810" w:type="dxa"/>
          </w:tcPr>
          <w:p w:rsidR="00583FC0" w:rsidRDefault="00C70D32">
            <w:pPr>
              <w:rPr>
                <w:rFonts w:ascii="Arial" w:hAnsi="Arial"/>
              </w:rPr>
            </w:pPr>
            <w:r>
              <w:t>B</w:t>
            </w:r>
          </w:p>
        </w:tc>
        <w:tc>
          <w:tcPr>
            <w:tcW w:w="1260" w:type="dxa"/>
          </w:tcPr>
          <w:p w:rsidR="00060A4B" w:rsidRPr="00060A4B" w:rsidRDefault="00060A4B" w:rsidP="0025033A">
            <w:r>
              <w:t>5/7/15</w:t>
            </w:r>
          </w:p>
        </w:tc>
        <w:tc>
          <w:tcPr>
            <w:tcW w:w="1080" w:type="dxa"/>
          </w:tcPr>
          <w:p w:rsidR="00583FC0" w:rsidRDefault="00060A4B">
            <w:pPr>
              <w:rPr>
                <w:rFonts w:ascii="Arial" w:hAnsi="Arial"/>
              </w:rPr>
            </w:pPr>
            <w:r>
              <w:t>SJA</w:t>
            </w:r>
          </w:p>
        </w:tc>
        <w:tc>
          <w:tcPr>
            <w:tcW w:w="5760" w:type="dxa"/>
          </w:tcPr>
          <w:p w:rsidR="00583FC0" w:rsidRDefault="00060A4B">
            <w:pPr>
              <w:rPr>
                <w:rFonts w:ascii="Arial" w:hAnsi="Arial"/>
              </w:rPr>
            </w:pPr>
            <w:r>
              <w:t>Updated procedure index</w:t>
            </w:r>
          </w:p>
        </w:tc>
      </w:tr>
      <w:tr w:rsidR="00583FC0" w:rsidTr="0025033A">
        <w:trPr>
          <w:trHeight w:val="395"/>
        </w:trPr>
        <w:tc>
          <w:tcPr>
            <w:tcW w:w="1098" w:type="dxa"/>
          </w:tcPr>
          <w:p w:rsidR="00583FC0" w:rsidRDefault="00583FC0">
            <w:pPr>
              <w:rPr>
                <w:rFonts w:ascii="Arial" w:hAnsi="Arial"/>
              </w:rPr>
            </w:pPr>
          </w:p>
        </w:tc>
        <w:tc>
          <w:tcPr>
            <w:tcW w:w="810" w:type="dxa"/>
          </w:tcPr>
          <w:p w:rsidR="00583FC0" w:rsidRDefault="00583FC0">
            <w:pPr>
              <w:rPr>
                <w:rFonts w:ascii="Arial" w:hAnsi="Arial"/>
              </w:rPr>
            </w:pPr>
          </w:p>
        </w:tc>
        <w:tc>
          <w:tcPr>
            <w:tcW w:w="1260" w:type="dxa"/>
          </w:tcPr>
          <w:p w:rsidR="00583FC0" w:rsidRDefault="00583FC0" w:rsidP="0025033A">
            <w:pPr>
              <w:rPr>
                <w:rFonts w:ascii="Arial" w:hAnsi="Arial"/>
              </w:rPr>
            </w:pPr>
          </w:p>
        </w:tc>
        <w:tc>
          <w:tcPr>
            <w:tcW w:w="1080" w:type="dxa"/>
          </w:tcPr>
          <w:p w:rsidR="00583FC0" w:rsidRDefault="00583FC0">
            <w:pPr>
              <w:rPr>
                <w:rFonts w:ascii="Arial" w:hAnsi="Arial"/>
              </w:rPr>
            </w:pPr>
          </w:p>
        </w:tc>
        <w:tc>
          <w:tcPr>
            <w:tcW w:w="5760" w:type="dxa"/>
          </w:tcPr>
          <w:p w:rsidR="00583FC0" w:rsidRDefault="00583FC0">
            <w:pPr>
              <w:rPr>
                <w:rFonts w:ascii="Arial" w:hAnsi="Arial"/>
              </w:rPr>
            </w:pPr>
          </w:p>
        </w:tc>
      </w:tr>
    </w:tbl>
    <w:p w:rsidR="00583FC0" w:rsidRDefault="00583FC0">
      <w:pPr>
        <w:rPr>
          <w:rFonts w:ascii="Arial" w:hAnsi="Arial"/>
        </w:rPr>
      </w:pPr>
    </w:p>
    <w:p w:rsidR="00583FC0" w:rsidRDefault="00583FC0"/>
    <w:sectPr w:rsidR="00583FC0">
      <w:headerReference w:type="default" r:id="rId9"/>
      <w:footerReference w:type="even" r:id="rId10"/>
      <w:footerReference w:type="default" r:id="rId11"/>
      <w:type w:val="oddPage"/>
      <w:pgSz w:w="12240" w:h="15840" w:code="1"/>
      <w:pgMar w:top="1440" w:right="1008" w:bottom="1008"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18" w:rsidRDefault="00096818">
      <w:r>
        <w:separator/>
      </w:r>
    </w:p>
  </w:endnote>
  <w:endnote w:type="continuationSeparator" w:id="0">
    <w:p w:rsidR="00096818" w:rsidRDefault="0009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8" w:rsidRDefault="00914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4B78" w:rsidRDefault="00914B7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8" w:rsidRDefault="00914B78">
    <w:pPr>
      <w:pStyle w:val="Footer"/>
      <w:tabs>
        <w:tab w:val="clear" w:pos="4320"/>
        <w:tab w:val="clear" w:pos="8640"/>
      </w:tabs>
      <w:ind w:right="360"/>
      <w:jc w:val="center"/>
      <w:rPr>
        <w:rFonts w:ascii="Tahoma" w:hAnsi="Tahoma"/>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229C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29C9">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18" w:rsidRDefault="00096818">
      <w:r>
        <w:separator/>
      </w:r>
    </w:p>
  </w:footnote>
  <w:footnote w:type="continuationSeparator" w:id="0">
    <w:p w:rsidR="00096818" w:rsidRDefault="0009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78" w:rsidRDefault="00914B78">
    <w:pPr>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r>
    <w:r w:rsidR="0025033A">
      <w:t>Compliance with Accrediting Body</w:t>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r w:rsidR="0025033A">
      <w:t>Samuel Anderson</w:t>
    </w:r>
  </w:p>
  <w:p w:rsidR="00914B78" w:rsidRDefault="00914B78">
    <w:pPr>
      <w:rPr>
        <w:rFonts w:ascii="Arial" w:hAnsi="Arial"/>
        <w:sz w:val="20"/>
      </w:rPr>
    </w:pPr>
    <w:r>
      <w:rPr>
        <w:rFonts w:ascii="Arial" w:hAnsi="Arial"/>
        <w:sz w:val="20"/>
      </w:rPr>
      <w:t>DOC Number:</w:t>
    </w:r>
    <w:r>
      <w:rPr>
        <w:rFonts w:ascii="Arial" w:hAnsi="Arial"/>
        <w:sz w:val="20"/>
      </w:rPr>
      <w:tab/>
      <w:t>D0002.000</w:t>
    </w:r>
    <w:r w:rsidR="0025033A">
      <w:t>5</w:t>
    </w:r>
  </w:p>
  <w:p w:rsidR="00914B78" w:rsidRDefault="00914B78">
    <w:pPr>
      <w:pBdr>
        <w:bottom w:val="single" w:sz="12" w:space="1" w:color="auto"/>
      </w:pBdr>
      <w:rPr>
        <w:rFonts w:ascii="Arial" w:hAnsi="Arial"/>
        <w:sz w:val="20"/>
      </w:rPr>
    </w:pPr>
    <w:r>
      <w:rPr>
        <w:rFonts w:ascii="Arial" w:hAnsi="Arial"/>
        <w:sz w:val="20"/>
      </w:rPr>
      <w:t>Revision:</w:t>
    </w:r>
    <w:r>
      <w:rPr>
        <w:rFonts w:ascii="Arial" w:hAnsi="Arial"/>
        <w:sz w:val="20"/>
      </w:rPr>
      <w:tab/>
    </w:r>
    <w:r w:rsidR="006229C9">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07B"/>
    <w:multiLevelType w:val="hybridMultilevel"/>
    <w:tmpl w:val="D8248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F4FE4"/>
    <w:multiLevelType w:val="hybridMultilevel"/>
    <w:tmpl w:val="5FEA2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C57F4"/>
    <w:multiLevelType w:val="hybridMultilevel"/>
    <w:tmpl w:val="E9226A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2776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0FBD6989"/>
    <w:multiLevelType w:val="multilevel"/>
    <w:tmpl w:val="D6F89B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1326813"/>
    <w:multiLevelType w:val="multilevel"/>
    <w:tmpl w:val="F2C6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1966D81"/>
    <w:multiLevelType w:val="hybridMultilevel"/>
    <w:tmpl w:val="5F246B0E"/>
    <w:lvl w:ilvl="0" w:tplc="0409000B">
      <w:start w:val="1"/>
      <w:numFmt w:val="bullet"/>
      <w:lvlText w:val=""/>
      <w:lvlJc w:val="left"/>
      <w:pPr>
        <w:tabs>
          <w:tab w:val="num" w:pos="1513"/>
        </w:tabs>
        <w:ind w:left="1513" w:hanging="360"/>
      </w:pPr>
      <w:rPr>
        <w:rFonts w:ascii="Wingdings" w:hAnsi="Wingdings"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nsid w:val="11BB5564"/>
    <w:multiLevelType w:val="hybridMultilevel"/>
    <w:tmpl w:val="51EE9F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475BD7"/>
    <w:multiLevelType w:val="hybridMultilevel"/>
    <w:tmpl w:val="479C822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9">
    <w:nsid w:val="1F3D277B"/>
    <w:multiLevelType w:val="hybridMultilevel"/>
    <w:tmpl w:val="834202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64B4DAF"/>
    <w:multiLevelType w:val="hybridMultilevel"/>
    <w:tmpl w:val="CB7CF8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EE2D75"/>
    <w:multiLevelType w:val="hybridMultilevel"/>
    <w:tmpl w:val="57EC589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C1000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2A460D79"/>
    <w:multiLevelType w:val="hybridMultilevel"/>
    <w:tmpl w:val="0E5E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3D2E34"/>
    <w:multiLevelType w:val="hybridMultilevel"/>
    <w:tmpl w:val="6062FD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991E90"/>
    <w:multiLevelType w:val="hybridMultilevel"/>
    <w:tmpl w:val="7A105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2440B4C"/>
    <w:multiLevelType w:val="hybridMultilevel"/>
    <w:tmpl w:val="390CC9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690C80"/>
    <w:multiLevelType w:val="hybridMultilevel"/>
    <w:tmpl w:val="808AC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E6485B"/>
    <w:multiLevelType w:val="hybridMultilevel"/>
    <w:tmpl w:val="FD9AAB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7FF5F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38F96B93"/>
    <w:multiLevelType w:val="hybridMultilevel"/>
    <w:tmpl w:val="500A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6D524D"/>
    <w:multiLevelType w:val="hybridMultilevel"/>
    <w:tmpl w:val="261C5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BA62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423D5AAC"/>
    <w:multiLevelType w:val="hybridMultilevel"/>
    <w:tmpl w:val="995A98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54124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4AFB354A"/>
    <w:multiLevelType w:val="hybridMultilevel"/>
    <w:tmpl w:val="2E4C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193666"/>
    <w:multiLevelType w:val="hybridMultilevel"/>
    <w:tmpl w:val="32D22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B774F0C"/>
    <w:multiLevelType w:val="hybridMultilevel"/>
    <w:tmpl w:val="A7C265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BD61E46"/>
    <w:multiLevelType w:val="hybridMultilevel"/>
    <w:tmpl w:val="50202B0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8B15E6"/>
    <w:multiLevelType w:val="hybridMultilevel"/>
    <w:tmpl w:val="A9FA5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A41DEC"/>
    <w:multiLevelType w:val="hybridMultilevel"/>
    <w:tmpl w:val="AB4275D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9E44707"/>
    <w:multiLevelType w:val="hybridMultilevel"/>
    <w:tmpl w:val="232EDC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E54BF"/>
    <w:multiLevelType w:val="hybridMultilevel"/>
    <w:tmpl w:val="C2B2B0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22B44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nsid w:val="63337A88"/>
    <w:multiLevelType w:val="hybridMultilevel"/>
    <w:tmpl w:val="2DCE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E03167"/>
    <w:multiLevelType w:val="hybridMultilevel"/>
    <w:tmpl w:val="D3342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9811EA"/>
    <w:multiLevelType w:val="hybridMultilevel"/>
    <w:tmpl w:val="E9643D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2B13968"/>
    <w:multiLevelType w:val="hybridMultilevel"/>
    <w:tmpl w:val="1CBE0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A001471"/>
    <w:multiLevelType w:val="hybridMultilevel"/>
    <w:tmpl w:val="DD1068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6A460B"/>
    <w:multiLevelType w:val="multilevel"/>
    <w:tmpl w:val="57EC58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3"/>
  </w:num>
  <w:num w:numId="3">
    <w:abstractNumId w:val="3"/>
  </w:num>
  <w:num w:numId="4">
    <w:abstractNumId w:val="24"/>
  </w:num>
  <w:num w:numId="5">
    <w:abstractNumId w:val="22"/>
  </w:num>
  <w:num w:numId="6">
    <w:abstractNumId w:val="19"/>
  </w:num>
  <w:num w:numId="7">
    <w:abstractNumId w:val="9"/>
  </w:num>
  <w:num w:numId="8">
    <w:abstractNumId w:val="30"/>
  </w:num>
  <w:num w:numId="9">
    <w:abstractNumId w:val="7"/>
  </w:num>
  <w:num w:numId="10">
    <w:abstractNumId w:val="28"/>
  </w:num>
  <w:num w:numId="11">
    <w:abstractNumId w:val="11"/>
  </w:num>
  <w:num w:numId="12">
    <w:abstractNumId w:val="23"/>
  </w:num>
  <w:num w:numId="13">
    <w:abstractNumId w:val="36"/>
  </w:num>
  <w:num w:numId="14">
    <w:abstractNumId w:val="18"/>
  </w:num>
  <w:num w:numId="15">
    <w:abstractNumId w:val="6"/>
  </w:num>
  <w:num w:numId="16">
    <w:abstractNumId w:val="29"/>
  </w:num>
  <w:num w:numId="17">
    <w:abstractNumId w:val="14"/>
  </w:num>
  <w:num w:numId="18">
    <w:abstractNumId w:val="2"/>
  </w:num>
  <w:num w:numId="19">
    <w:abstractNumId w:val="31"/>
  </w:num>
  <w:num w:numId="20">
    <w:abstractNumId w:val="38"/>
  </w:num>
  <w:num w:numId="21">
    <w:abstractNumId w:val="10"/>
  </w:num>
  <w:num w:numId="22">
    <w:abstractNumId w:val="39"/>
  </w:num>
  <w:num w:numId="23">
    <w:abstractNumId w:val="32"/>
  </w:num>
  <w:num w:numId="24">
    <w:abstractNumId w:val="17"/>
  </w:num>
  <w:num w:numId="25">
    <w:abstractNumId w:val="26"/>
  </w:num>
  <w:num w:numId="26">
    <w:abstractNumId w:val="16"/>
  </w:num>
  <w:num w:numId="27">
    <w:abstractNumId w:val="15"/>
  </w:num>
  <w:num w:numId="28">
    <w:abstractNumId w:val="35"/>
  </w:num>
  <w:num w:numId="29">
    <w:abstractNumId w:val="8"/>
  </w:num>
  <w:num w:numId="30">
    <w:abstractNumId w:val="34"/>
  </w:num>
  <w:num w:numId="31">
    <w:abstractNumId w:val="13"/>
  </w:num>
  <w:num w:numId="32">
    <w:abstractNumId w:val="0"/>
  </w:num>
  <w:num w:numId="33">
    <w:abstractNumId w:val="21"/>
  </w:num>
  <w:num w:numId="34">
    <w:abstractNumId w:val="1"/>
  </w:num>
  <w:num w:numId="35">
    <w:abstractNumId w:val="2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
  </w:num>
  <w:num w:numId="43">
    <w:abstractNumId w:val="27"/>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CC"/>
    <w:rsid w:val="000045E8"/>
    <w:rsid w:val="0002025D"/>
    <w:rsid w:val="000533A1"/>
    <w:rsid w:val="00060A4B"/>
    <w:rsid w:val="00065750"/>
    <w:rsid w:val="00096818"/>
    <w:rsid w:val="000B1D69"/>
    <w:rsid w:val="000D6969"/>
    <w:rsid w:val="00141EF6"/>
    <w:rsid w:val="00145D4D"/>
    <w:rsid w:val="00153176"/>
    <w:rsid w:val="00182C28"/>
    <w:rsid w:val="001B2282"/>
    <w:rsid w:val="001B3C86"/>
    <w:rsid w:val="002114E4"/>
    <w:rsid w:val="00224418"/>
    <w:rsid w:val="00227504"/>
    <w:rsid w:val="002348B5"/>
    <w:rsid w:val="0025033A"/>
    <w:rsid w:val="0025494F"/>
    <w:rsid w:val="002777CE"/>
    <w:rsid w:val="00277FCE"/>
    <w:rsid w:val="002C0B6E"/>
    <w:rsid w:val="0030326E"/>
    <w:rsid w:val="00304642"/>
    <w:rsid w:val="0034076D"/>
    <w:rsid w:val="003637CC"/>
    <w:rsid w:val="0037720B"/>
    <w:rsid w:val="003D5568"/>
    <w:rsid w:val="003E72E7"/>
    <w:rsid w:val="00421C31"/>
    <w:rsid w:val="004334C9"/>
    <w:rsid w:val="004605E5"/>
    <w:rsid w:val="0048063A"/>
    <w:rsid w:val="00481714"/>
    <w:rsid w:val="004A7D90"/>
    <w:rsid w:val="004B46F1"/>
    <w:rsid w:val="004F1D9C"/>
    <w:rsid w:val="00507B3E"/>
    <w:rsid w:val="005207D6"/>
    <w:rsid w:val="0054420C"/>
    <w:rsid w:val="005777CC"/>
    <w:rsid w:val="00580688"/>
    <w:rsid w:val="00583FC0"/>
    <w:rsid w:val="005A42DC"/>
    <w:rsid w:val="005A4E7D"/>
    <w:rsid w:val="005A7C6E"/>
    <w:rsid w:val="005C5D18"/>
    <w:rsid w:val="005F1CC0"/>
    <w:rsid w:val="005F2B58"/>
    <w:rsid w:val="005F2C93"/>
    <w:rsid w:val="006229C9"/>
    <w:rsid w:val="0063515C"/>
    <w:rsid w:val="0066288B"/>
    <w:rsid w:val="006A0EB3"/>
    <w:rsid w:val="006B71BA"/>
    <w:rsid w:val="00717AB9"/>
    <w:rsid w:val="00736FF4"/>
    <w:rsid w:val="00744298"/>
    <w:rsid w:val="007623D9"/>
    <w:rsid w:val="007725F6"/>
    <w:rsid w:val="00783700"/>
    <w:rsid w:val="007B0B0B"/>
    <w:rsid w:val="007C2439"/>
    <w:rsid w:val="007D51D8"/>
    <w:rsid w:val="007F3947"/>
    <w:rsid w:val="00811CE1"/>
    <w:rsid w:val="00834583"/>
    <w:rsid w:val="00845474"/>
    <w:rsid w:val="008712A6"/>
    <w:rsid w:val="00880B53"/>
    <w:rsid w:val="0088621A"/>
    <w:rsid w:val="008E6849"/>
    <w:rsid w:val="008F391A"/>
    <w:rsid w:val="009065E4"/>
    <w:rsid w:val="009104E2"/>
    <w:rsid w:val="00914B78"/>
    <w:rsid w:val="009271D1"/>
    <w:rsid w:val="00987228"/>
    <w:rsid w:val="009B083C"/>
    <w:rsid w:val="009B36F3"/>
    <w:rsid w:val="009C49F0"/>
    <w:rsid w:val="009F4570"/>
    <w:rsid w:val="009F5563"/>
    <w:rsid w:val="00A04DCF"/>
    <w:rsid w:val="00A167D8"/>
    <w:rsid w:val="00A16A9B"/>
    <w:rsid w:val="00A16F54"/>
    <w:rsid w:val="00A259E3"/>
    <w:rsid w:val="00A267C8"/>
    <w:rsid w:val="00A543C4"/>
    <w:rsid w:val="00A60952"/>
    <w:rsid w:val="00A75C6C"/>
    <w:rsid w:val="00AA2F5D"/>
    <w:rsid w:val="00AA32BD"/>
    <w:rsid w:val="00AC51EB"/>
    <w:rsid w:val="00AD6C7D"/>
    <w:rsid w:val="00B01963"/>
    <w:rsid w:val="00B036D1"/>
    <w:rsid w:val="00B44D6E"/>
    <w:rsid w:val="00B52414"/>
    <w:rsid w:val="00B919CA"/>
    <w:rsid w:val="00C14540"/>
    <w:rsid w:val="00C521A1"/>
    <w:rsid w:val="00C64776"/>
    <w:rsid w:val="00C70D32"/>
    <w:rsid w:val="00C76D05"/>
    <w:rsid w:val="00C77BE1"/>
    <w:rsid w:val="00CC65DF"/>
    <w:rsid w:val="00CE35E3"/>
    <w:rsid w:val="00CE7805"/>
    <w:rsid w:val="00D275F7"/>
    <w:rsid w:val="00D34383"/>
    <w:rsid w:val="00D55FD9"/>
    <w:rsid w:val="00D66A0E"/>
    <w:rsid w:val="00D714AA"/>
    <w:rsid w:val="00D873D9"/>
    <w:rsid w:val="00D91531"/>
    <w:rsid w:val="00DB65D4"/>
    <w:rsid w:val="00DD3F80"/>
    <w:rsid w:val="00DE2C27"/>
    <w:rsid w:val="00DE4F81"/>
    <w:rsid w:val="00DE5E1F"/>
    <w:rsid w:val="00E56703"/>
    <w:rsid w:val="00E82D1D"/>
    <w:rsid w:val="00E95902"/>
    <w:rsid w:val="00EA2D74"/>
    <w:rsid w:val="00EB739E"/>
    <w:rsid w:val="00ED025A"/>
    <w:rsid w:val="00ED49EC"/>
    <w:rsid w:val="00EF5758"/>
    <w:rsid w:val="00EF5B39"/>
    <w:rsid w:val="00F1554F"/>
    <w:rsid w:val="00F16294"/>
    <w:rsid w:val="00F27700"/>
    <w:rsid w:val="00F3122F"/>
    <w:rsid w:val="00F35772"/>
    <w:rsid w:val="00F44EA7"/>
    <w:rsid w:val="00F53FC0"/>
    <w:rsid w:val="00FA1249"/>
    <w:rsid w:val="00FA1847"/>
    <w:rsid w:val="00FB2B0C"/>
    <w:rsid w:val="00FC189D"/>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link w:val="Heading1Char"/>
    <w:qFormat/>
    <w:rsid w:val="00004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3637CC"/>
    <w:rPr>
      <w:rFonts w:ascii="Tahoma" w:hAnsi="Tahoma" w:cs="Tahoma"/>
      <w:sz w:val="16"/>
      <w:szCs w:val="16"/>
    </w:rPr>
  </w:style>
  <w:style w:type="paragraph" w:styleId="ListParagraph">
    <w:name w:val="List Paragraph"/>
    <w:basedOn w:val="Normal"/>
    <w:uiPriority w:val="34"/>
    <w:qFormat/>
    <w:rsid w:val="00DB65D4"/>
    <w:pPr>
      <w:ind w:left="720"/>
    </w:pPr>
  </w:style>
  <w:style w:type="character" w:styleId="CommentReference">
    <w:name w:val="annotation reference"/>
    <w:basedOn w:val="DefaultParagraphFont"/>
    <w:rsid w:val="00F27700"/>
    <w:rPr>
      <w:sz w:val="16"/>
      <w:szCs w:val="16"/>
    </w:rPr>
  </w:style>
  <w:style w:type="paragraph" w:styleId="CommentText">
    <w:name w:val="annotation text"/>
    <w:basedOn w:val="Normal"/>
    <w:link w:val="CommentTextChar"/>
    <w:rsid w:val="00F27700"/>
    <w:rPr>
      <w:sz w:val="20"/>
    </w:rPr>
  </w:style>
  <w:style w:type="character" w:customStyle="1" w:styleId="CommentTextChar">
    <w:name w:val="Comment Text Char"/>
    <w:basedOn w:val="DefaultParagraphFont"/>
    <w:link w:val="CommentText"/>
    <w:rsid w:val="00F27700"/>
    <w:rPr>
      <w:rFonts w:ascii="Bookman Old Style" w:hAnsi="Bookman Old Style"/>
    </w:rPr>
  </w:style>
  <w:style w:type="paragraph" w:styleId="CommentSubject">
    <w:name w:val="annotation subject"/>
    <w:basedOn w:val="CommentText"/>
    <w:next w:val="CommentText"/>
    <w:link w:val="CommentSubjectChar"/>
    <w:rsid w:val="00F27700"/>
    <w:rPr>
      <w:b/>
      <w:bCs/>
    </w:rPr>
  </w:style>
  <w:style w:type="character" w:customStyle="1" w:styleId="CommentSubjectChar">
    <w:name w:val="Comment Subject Char"/>
    <w:basedOn w:val="CommentTextChar"/>
    <w:link w:val="CommentSubject"/>
    <w:rsid w:val="00F27700"/>
    <w:rPr>
      <w:rFonts w:ascii="Bookman Old Style" w:hAnsi="Bookman Old Style"/>
      <w:b/>
      <w:bCs/>
    </w:rPr>
  </w:style>
  <w:style w:type="character" w:styleId="PlaceholderText">
    <w:name w:val="Placeholder Text"/>
    <w:basedOn w:val="DefaultParagraphFont"/>
    <w:uiPriority w:val="99"/>
    <w:semiHidden/>
    <w:rsid w:val="00304642"/>
    <w:rPr>
      <w:color w:val="808080"/>
    </w:rPr>
  </w:style>
  <w:style w:type="character" w:customStyle="1" w:styleId="Heading1Char">
    <w:name w:val="Heading 1 Char"/>
    <w:basedOn w:val="DefaultParagraphFont"/>
    <w:link w:val="Heading1"/>
    <w:rsid w:val="000045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link w:val="Heading1Char"/>
    <w:qFormat/>
    <w:rsid w:val="00004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3637CC"/>
    <w:rPr>
      <w:rFonts w:ascii="Tahoma" w:hAnsi="Tahoma" w:cs="Tahoma"/>
      <w:sz w:val="16"/>
      <w:szCs w:val="16"/>
    </w:rPr>
  </w:style>
  <w:style w:type="paragraph" w:styleId="ListParagraph">
    <w:name w:val="List Paragraph"/>
    <w:basedOn w:val="Normal"/>
    <w:uiPriority w:val="34"/>
    <w:qFormat/>
    <w:rsid w:val="00DB65D4"/>
    <w:pPr>
      <w:ind w:left="720"/>
    </w:pPr>
  </w:style>
  <w:style w:type="character" w:styleId="CommentReference">
    <w:name w:val="annotation reference"/>
    <w:basedOn w:val="DefaultParagraphFont"/>
    <w:rsid w:val="00F27700"/>
    <w:rPr>
      <w:sz w:val="16"/>
      <w:szCs w:val="16"/>
    </w:rPr>
  </w:style>
  <w:style w:type="paragraph" w:styleId="CommentText">
    <w:name w:val="annotation text"/>
    <w:basedOn w:val="Normal"/>
    <w:link w:val="CommentTextChar"/>
    <w:rsid w:val="00F27700"/>
    <w:rPr>
      <w:sz w:val="20"/>
    </w:rPr>
  </w:style>
  <w:style w:type="character" w:customStyle="1" w:styleId="CommentTextChar">
    <w:name w:val="Comment Text Char"/>
    <w:basedOn w:val="DefaultParagraphFont"/>
    <w:link w:val="CommentText"/>
    <w:rsid w:val="00F27700"/>
    <w:rPr>
      <w:rFonts w:ascii="Bookman Old Style" w:hAnsi="Bookman Old Style"/>
    </w:rPr>
  </w:style>
  <w:style w:type="paragraph" w:styleId="CommentSubject">
    <w:name w:val="annotation subject"/>
    <w:basedOn w:val="CommentText"/>
    <w:next w:val="CommentText"/>
    <w:link w:val="CommentSubjectChar"/>
    <w:rsid w:val="00F27700"/>
    <w:rPr>
      <w:b/>
      <w:bCs/>
    </w:rPr>
  </w:style>
  <w:style w:type="character" w:customStyle="1" w:styleId="CommentSubjectChar">
    <w:name w:val="Comment Subject Char"/>
    <w:basedOn w:val="CommentTextChar"/>
    <w:link w:val="CommentSubject"/>
    <w:rsid w:val="00F27700"/>
    <w:rPr>
      <w:rFonts w:ascii="Bookman Old Style" w:hAnsi="Bookman Old Style"/>
      <w:b/>
      <w:bCs/>
    </w:rPr>
  </w:style>
  <w:style w:type="character" w:styleId="PlaceholderText">
    <w:name w:val="Placeholder Text"/>
    <w:basedOn w:val="DefaultParagraphFont"/>
    <w:uiPriority w:val="99"/>
    <w:semiHidden/>
    <w:rsid w:val="00304642"/>
    <w:rPr>
      <w:color w:val="808080"/>
    </w:rPr>
  </w:style>
  <w:style w:type="character" w:customStyle="1" w:styleId="Heading1Char">
    <w:name w:val="Heading 1 Char"/>
    <w:basedOn w:val="DefaultParagraphFont"/>
    <w:link w:val="Heading1"/>
    <w:rsid w:val="000045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0D01-E993-4B75-A26D-2E362021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CALIBRATION SYSTEM CONTROLS &amp; PROCESSES</vt:lpstr>
    </vt:vector>
  </TitlesOfParts>
  <Company>Larson Davis, Inc.</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CALIBRATION SYSTEM CONTROLS &amp; PROCESSES</dc:title>
  <dc:creator>Jan Badertscher</dc:creator>
  <cp:lastModifiedBy>Heather Anderson</cp:lastModifiedBy>
  <cp:revision>4</cp:revision>
  <cp:lastPrinted>2008-07-02T21:36:00Z</cp:lastPrinted>
  <dcterms:created xsi:type="dcterms:W3CDTF">2015-05-07T19:19:00Z</dcterms:created>
  <dcterms:modified xsi:type="dcterms:W3CDTF">2015-05-07T19:57:00Z</dcterms:modified>
</cp:coreProperties>
</file>