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EC" w:rsidRPr="00032A4F" w:rsidRDefault="00D818F0" w:rsidP="00032A4F">
      <w:pPr>
        <w:pBdr>
          <w:bottom w:val="single" w:sz="18" w:space="1" w:color="auto"/>
        </w:pBdr>
        <w:spacing w:after="0" w:line="240" w:lineRule="auto"/>
        <w:rPr>
          <w:rFonts w:ascii="Arial" w:eastAsia="Times New Roman" w:hAnsi="Arial" w:cs="Times New Roman"/>
          <w:b/>
          <w:bCs/>
          <w:sz w:val="40"/>
          <w:szCs w:val="20"/>
        </w:rPr>
      </w:pPr>
      <w:r>
        <w:rPr>
          <w:rFonts w:ascii="Arial" w:eastAsia="Times New Roman" w:hAnsi="Arial" w:cs="Times New Roman"/>
          <w:b/>
          <w:bCs/>
          <w:sz w:val="40"/>
          <w:szCs w:val="20"/>
        </w:rPr>
        <w:t xml:space="preserve">ISO </w:t>
      </w:r>
      <w:r w:rsidR="00032A4F" w:rsidRPr="00032A4F">
        <w:rPr>
          <w:rFonts w:ascii="Arial" w:eastAsia="Times New Roman" w:hAnsi="Arial" w:cs="Times New Roman"/>
          <w:b/>
          <w:bCs/>
          <w:sz w:val="40"/>
          <w:szCs w:val="20"/>
        </w:rPr>
        <w:t>17025 Reference Equipment Handling</w:t>
      </w:r>
    </w:p>
    <w:p w:rsidR="00032A4F" w:rsidRDefault="00032A4F"/>
    <w:p w:rsidR="003F4144" w:rsidRPr="003F4144" w:rsidRDefault="0030032F" w:rsidP="00A45DCE">
      <w:pPr>
        <w:pStyle w:val="Heading2"/>
        <w:numPr>
          <w:ilvl w:val="0"/>
          <w:numId w:val="5"/>
        </w:numPr>
        <w:rPr>
          <w:b w:val="0"/>
          <w:sz w:val="24"/>
          <w:szCs w:val="24"/>
        </w:rPr>
      </w:pPr>
      <w:r>
        <w:t>PURPOSE AND SCOPE</w:t>
      </w:r>
      <w:r w:rsidR="003F4144">
        <w:rPr>
          <w:sz w:val="24"/>
          <w:szCs w:val="24"/>
        </w:rPr>
        <w:t xml:space="preserve"> </w:t>
      </w:r>
    </w:p>
    <w:p w:rsidR="003F4144" w:rsidRDefault="003F4144" w:rsidP="003F4144">
      <w:pPr>
        <w:pStyle w:val="Heading2"/>
        <w:rPr>
          <w:sz w:val="24"/>
          <w:szCs w:val="24"/>
        </w:rPr>
      </w:pPr>
    </w:p>
    <w:p w:rsidR="0030032F" w:rsidRPr="003F4144" w:rsidRDefault="0030032F" w:rsidP="003F4144">
      <w:pPr>
        <w:pStyle w:val="Heading2"/>
        <w:rPr>
          <w:b w:val="0"/>
          <w:sz w:val="24"/>
          <w:szCs w:val="24"/>
        </w:rPr>
      </w:pPr>
      <w:r w:rsidRPr="003F4144">
        <w:rPr>
          <w:b w:val="0"/>
          <w:sz w:val="24"/>
        </w:rPr>
        <w:t xml:space="preserve">When, for whatever reason, </w:t>
      </w:r>
      <w:r w:rsidR="00A45DCE" w:rsidRPr="003F4144">
        <w:rPr>
          <w:b w:val="0"/>
          <w:sz w:val="24"/>
        </w:rPr>
        <w:t>equipment</w:t>
      </w:r>
      <w:r w:rsidRPr="003F4144">
        <w:rPr>
          <w:b w:val="0"/>
          <w:sz w:val="24"/>
        </w:rPr>
        <w:t xml:space="preserve"> goes outside the direct control of the</w:t>
      </w:r>
      <w:r w:rsidR="00D818F0" w:rsidRPr="003F4144">
        <w:rPr>
          <w:b w:val="0"/>
          <w:sz w:val="24"/>
        </w:rPr>
        <w:t xml:space="preserve"> ISO 17025 calibration</w:t>
      </w:r>
      <w:r w:rsidRPr="003F4144">
        <w:rPr>
          <w:b w:val="0"/>
          <w:sz w:val="24"/>
        </w:rPr>
        <w:t xml:space="preserve"> laboratory, the laboratory shall ensure that the function</w:t>
      </w:r>
      <w:r w:rsidR="00D818F0" w:rsidRPr="003F4144">
        <w:rPr>
          <w:b w:val="0"/>
          <w:sz w:val="24"/>
        </w:rPr>
        <w:t>s</w:t>
      </w:r>
      <w:r w:rsidRPr="003F4144">
        <w:rPr>
          <w:b w:val="0"/>
          <w:sz w:val="24"/>
        </w:rPr>
        <w:t xml:space="preserve"> and calibration status of the equipment are checked </w:t>
      </w:r>
      <w:r w:rsidR="00D818F0" w:rsidRPr="003F4144">
        <w:rPr>
          <w:b w:val="0"/>
          <w:sz w:val="24"/>
        </w:rPr>
        <w:t xml:space="preserve">before leaving </w:t>
      </w:r>
      <w:r w:rsidRPr="003F4144">
        <w:rPr>
          <w:b w:val="0"/>
          <w:sz w:val="24"/>
        </w:rPr>
        <w:t xml:space="preserve">and shown to be satisfactory </w:t>
      </w:r>
      <w:r w:rsidR="00D818F0" w:rsidRPr="003F4144">
        <w:rPr>
          <w:b w:val="0"/>
          <w:sz w:val="24"/>
        </w:rPr>
        <w:t>upon return of</w:t>
      </w:r>
      <w:r w:rsidRPr="003F4144">
        <w:rPr>
          <w:b w:val="0"/>
          <w:sz w:val="24"/>
        </w:rPr>
        <w:t xml:space="preserve"> the </w:t>
      </w:r>
      <w:r w:rsidR="00E276DA" w:rsidRPr="003F4144">
        <w:rPr>
          <w:b w:val="0"/>
          <w:sz w:val="24"/>
        </w:rPr>
        <w:t>equipment to</w:t>
      </w:r>
      <w:r w:rsidRPr="003F4144">
        <w:rPr>
          <w:b w:val="0"/>
          <w:sz w:val="24"/>
        </w:rPr>
        <w:t xml:space="preserve"> service.</w:t>
      </w:r>
    </w:p>
    <w:p w:rsidR="00A45DCE" w:rsidRDefault="00A45DCE" w:rsidP="00A45DCE">
      <w:pPr>
        <w:pStyle w:val="Heading2"/>
      </w:pPr>
    </w:p>
    <w:p w:rsidR="0030032F" w:rsidRDefault="0030032F" w:rsidP="00A45DCE">
      <w:pPr>
        <w:pStyle w:val="Heading2"/>
      </w:pPr>
      <w:r>
        <w:t>2.0</w:t>
      </w:r>
      <w:r>
        <w:tab/>
        <w:t>AFFECTED DEPARTMENTS</w:t>
      </w:r>
    </w:p>
    <w:p w:rsidR="0030032F" w:rsidRDefault="0030032F" w:rsidP="00A45DCE">
      <w:pPr>
        <w:spacing w:line="240" w:lineRule="auto"/>
        <w:rPr>
          <w:rFonts w:ascii="Arial" w:hAnsi="Arial"/>
        </w:rPr>
      </w:pPr>
    </w:p>
    <w:p w:rsidR="0030032F" w:rsidRPr="00A45DCE" w:rsidRDefault="0030032F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Engineering</w:t>
      </w:r>
    </w:p>
    <w:p w:rsidR="0030032F" w:rsidRPr="00A45DCE" w:rsidRDefault="0030032F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Logistics</w:t>
      </w:r>
    </w:p>
    <w:p w:rsidR="0030032F" w:rsidRPr="00A45DCE" w:rsidRDefault="0030032F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Manufacturing</w:t>
      </w:r>
    </w:p>
    <w:p w:rsidR="0030032F" w:rsidRPr="00A45DCE" w:rsidRDefault="0030032F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Quality</w:t>
      </w:r>
    </w:p>
    <w:p w:rsidR="0030032F" w:rsidRDefault="0030032F" w:rsidP="00A45DCE">
      <w:pPr>
        <w:spacing w:line="240" w:lineRule="auto"/>
        <w:rPr>
          <w:rFonts w:ascii="Arial" w:hAnsi="Arial"/>
        </w:rPr>
      </w:pPr>
    </w:p>
    <w:p w:rsidR="0030032F" w:rsidRDefault="0030032F" w:rsidP="00A45DCE">
      <w:pPr>
        <w:spacing w:line="240" w:lineRule="auto"/>
        <w:rPr>
          <w:rFonts w:ascii="Arial" w:hAnsi="Arial"/>
        </w:rPr>
      </w:pPr>
    </w:p>
    <w:p w:rsidR="0030032F" w:rsidRDefault="0030032F" w:rsidP="00A45DCE">
      <w:pPr>
        <w:pStyle w:val="Heading2"/>
      </w:pPr>
      <w:r>
        <w:t>3.0</w:t>
      </w:r>
      <w:r>
        <w:tab/>
        <w:t>REFERENCE DOCUMENTS</w:t>
      </w:r>
    </w:p>
    <w:p w:rsidR="0030032F" w:rsidRPr="00D91531" w:rsidRDefault="0030032F" w:rsidP="00A45DCE">
      <w:pPr>
        <w:spacing w:line="240" w:lineRule="auto"/>
      </w:pPr>
    </w:p>
    <w:p w:rsidR="0030032F" w:rsidRDefault="00A45DCE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ISO/IEC 17025:20</w:t>
      </w:r>
      <w:r w:rsidR="00D70D85">
        <w:rPr>
          <w:rFonts w:ascii="Arial" w:eastAsia="Times New Roman" w:hAnsi="Arial" w:cs="Times New Roman"/>
          <w:sz w:val="24"/>
          <w:szCs w:val="20"/>
        </w:rPr>
        <w:t>17</w:t>
      </w:r>
      <w:r w:rsidRPr="00A45DCE">
        <w:rPr>
          <w:rFonts w:ascii="Arial" w:eastAsia="Times New Roman" w:hAnsi="Arial" w:cs="Times New Roman"/>
          <w:sz w:val="24"/>
          <w:szCs w:val="20"/>
        </w:rPr>
        <w:t xml:space="preserve"> Section </w:t>
      </w:r>
      <w:r w:rsidR="00D70D85">
        <w:rPr>
          <w:rFonts w:ascii="Arial" w:eastAsia="Times New Roman" w:hAnsi="Arial" w:cs="Times New Roman"/>
          <w:sz w:val="24"/>
          <w:szCs w:val="20"/>
        </w:rPr>
        <w:t>6</w:t>
      </w:r>
    </w:p>
    <w:p w:rsidR="00A45DCE" w:rsidRDefault="00A45DCE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D0002.</w:t>
      </w:r>
      <w:r w:rsidR="00E276DA">
        <w:rPr>
          <w:rFonts w:ascii="Arial" w:eastAsia="Times New Roman" w:hAnsi="Arial" w:cs="Times New Roman"/>
          <w:sz w:val="24"/>
          <w:szCs w:val="20"/>
        </w:rPr>
        <w:t>0023</w:t>
      </w:r>
      <w:r>
        <w:rPr>
          <w:rFonts w:ascii="Arial" w:eastAsia="Times New Roman" w:hAnsi="Arial" w:cs="Times New Roman"/>
          <w:sz w:val="24"/>
          <w:szCs w:val="20"/>
        </w:rPr>
        <w:t xml:space="preserve">-1 – Master Log for 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ISO </w:t>
      </w:r>
      <w:r w:rsidR="00F46E8C">
        <w:rPr>
          <w:rFonts w:ascii="Arial" w:eastAsia="Times New Roman" w:hAnsi="Arial" w:cs="Times New Roman"/>
          <w:sz w:val="24"/>
          <w:szCs w:val="20"/>
        </w:rPr>
        <w:t>17025 Equipment – reference points</w:t>
      </w:r>
    </w:p>
    <w:p w:rsidR="00A45DCE" w:rsidRPr="00A45DCE" w:rsidRDefault="00A45DCE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D0002-</w:t>
      </w:r>
      <w:r w:rsidR="00E276DA">
        <w:rPr>
          <w:rFonts w:ascii="Arial" w:eastAsia="Times New Roman" w:hAnsi="Arial" w:cs="Times New Roman"/>
          <w:sz w:val="24"/>
          <w:szCs w:val="20"/>
        </w:rPr>
        <w:t>0023</w:t>
      </w:r>
      <w:r>
        <w:rPr>
          <w:rFonts w:ascii="Arial" w:eastAsia="Times New Roman" w:hAnsi="Arial" w:cs="Times New Roman"/>
          <w:sz w:val="24"/>
          <w:szCs w:val="20"/>
        </w:rPr>
        <w:t xml:space="preserve">-2 – 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ISO </w:t>
      </w:r>
      <w:r>
        <w:rPr>
          <w:rFonts w:ascii="Arial" w:eastAsia="Times New Roman" w:hAnsi="Arial" w:cs="Times New Roman"/>
          <w:sz w:val="24"/>
          <w:szCs w:val="20"/>
        </w:rPr>
        <w:t>17025 Reference Equipment Log</w:t>
      </w:r>
    </w:p>
    <w:p w:rsidR="0030032F" w:rsidRDefault="0030032F" w:rsidP="00A45DCE">
      <w:pPr>
        <w:spacing w:line="240" w:lineRule="auto"/>
        <w:rPr>
          <w:rFonts w:ascii="Arial" w:hAnsi="Arial"/>
        </w:rPr>
      </w:pPr>
    </w:p>
    <w:p w:rsidR="0030032F" w:rsidRDefault="0030032F" w:rsidP="0030032F">
      <w:pPr>
        <w:pStyle w:val="Heading2"/>
      </w:pPr>
      <w:r>
        <w:t>4.0</w:t>
      </w:r>
      <w:r>
        <w:tab/>
        <w:t>RESPONSIBILITIES &amp; AUTHORITY</w:t>
      </w:r>
    </w:p>
    <w:p w:rsidR="0030032F" w:rsidRDefault="0030032F" w:rsidP="0030032F">
      <w:pPr>
        <w:rPr>
          <w:rFonts w:ascii="Arial" w:hAnsi="Arial"/>
        </w:rPr>
      </w:pPr>
    </w:p>
    <w:p w:rsidR="0030032F" w:rsidRPr="00A45DCE" w:rsidRDefault="0030032F" w:rsidP="00A45DC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A45DCE">
        <w:rPr>
          <w:rFonts w:ascii="Arial" w:eastAsia="Times New Roman" w:hAnsi="Arial" w:cs="Times New Roman"/>
          <w:sz w:val="24"/>
          <w:szCs w:val="20"/>
        </w:rPr>
        <w:t>The Production Manager</w:t>
      </w:r>
      <w:r w:rsidR="00A45DCE" w:rsidRPr="00A45DCE">
        <w:rPr>
          <w:rFonts w:ascii="Arial" w:eastAsia="Times New Roman" w:hAnsi="Arial" w:cs="Times New Roman"/>
          <w:sz w:val="24"/>
          <w:szCs w:val="20"/>
        </w:rPr>
        <w:t xml:space="preserve"> is in charge of maintaining and administrating the log book (D0002.</w:t>
      </w:r>
      <w:r w:rsidR="00E276DA">
        <w:rPr>
          <w:rFonts w:ascii="Arial" w:eastAsia="Times New Roman" w:hAnsi="Arial" w:cs="Times New Roman"/>
          <w:sz w:val="24"/>
          <w:szCs w:val="20"/>
        </w:rPr>
        <w:t>0023</w:t>
      </w:r>
      <w:r w:rsidR="00A45DCE" w:rsidRPr="00A45DCE">
        <w:rPr>
          <w:rFonts w:ascii="Arial" w:eastAsia="Times New Roman" w:hAnsi="Arial" w:cs="Times New Roman"/>
          <w:sz w:val="24"/>
          <w:szCs w:val="20"/>
        </w:rPr>
        <w:t xml:space="preserve">-2) for all equipment that is removed from or is being returned to the laboratory area. </w:t>
      </w:r>
      <w:r w:rsidR="00A45DCE">
        <w:rPr>
          <w:rFonts w:ascii="Arial" w:eastAsia="Times New Roman" w:hAnsi="Arial" w:cs="Times New Roman"/>
          <w:sz w:val="24"/>
          <w:szCs w:val="20"/>
        </w:rPr>
        <w:t>Logistics has the responsibility to use this log book for all equipment that goes outside the control of the laboratory due to outside certifications and calibrations.</w:t>
      </w:r>
      <w:r w:rsidR="00A45DCE" w:rsidRPr="00A45DCE">
        <w:rPr>
          <w:rFonts w:ascii="Arial" w:eastAsia="Times New Roman" w:hAnsi="Arial" w:cs="Times New Roman"/>
          <w:sz w:val="24"/>
          <w:szCs w:val="20"/>
        </w:rPr>
        <w:t xml:space="preserve"> </w:t>
      </w:r>
      <w:r w:rsidR="00102B87">
        <w:rPr>
          <w:rFonts w:ascii="Arial" w:eastAsia="Times New Roman" w:hAnsi="Arial" w:cs="Times New Roman"/>
          <w:sz w:val="24"/>
          <w:szCs w:val="20"/>
        </w:rPr>
        <w:t>The Metrology Engineer</w:t>
      </w:r>
      <w:r w:rsidR="00A45DCE" w:rsidRPr="00A45DCE">
        <w:rPr>
          <w:rFonts w:ascii="Arial" w:eastAsia="Times New Roman" w:hAnsi="Arial" w:cs="Times New Roman"/>
          <w:sz w:val="24"/>
          <w:szCs w:val="20"/>
        </w:rPr>
        <w:t xml:space="preserve"> has the responsibility of maintaining the Master Log f</w:t>
      </w:r>
      <w:r w:rsidR="00177F25">
        <w:rPr>
          <w:rFonts w:ascii="Arial" w:eastAsia="Times New Roman" w:hAnsi="Arial" w:cs="Times New Roman"/>
          <w:sz w:val="24"/>
          <w:szCs w:val="20"/>
        </w:rPr>
        <w:t>or reference points (D0002.</w:t>
      </w:r>
      <w:r w:rsidR="00E276DA">
        <w:rPr>
          <w:rFonts w:ascii="Arial" w:eastAsia="Times New Roman" w:hAnsi="Arial" w:cs="Times New Roman"/>
          <w:sz w:val="24"/>
          <w:szCs w:val="20"/>
        </w:rPr>
        <w:t>0023</w:t>
      </w:r>
      <w:r w:rsidR="00177F25">
        <w:rPr>
          <w:rFonts w:ascii="Arial" w:eastAsia="Times New Roman" w:hAnsi="Arial" w:cs="Times New Roman"/>
          <w:sz w:val="24"/>
          <w:szCs w:val="20"/>
        </w:rPr>
        <w:t>-</w:t>
      </w:r>
      <w:r w:rsidR="00A45DCE" w:rsidRPr="00A45DCE">
        <w:rPr>
          <w:rFonts w:ascii="Arial" w:eastAsia="Times New Roman" w:hAnsi="Arial" w:cs="Times New Roman"/>
          <w:sz w:val="24"/>
          <w:szCs w:val="20"/>
        </w:rPr>
        <w:t>1)</w:t>
      </w:r>
      <w:r w:rsidRPr="00A45DCE">
        <w:rPr>
          <w:rFonts w:ascii="Arial" w:eastAsia="Times New Roman" w:hAnsi="Arial" w:cs="Times New Roman"/>
          <w:sz w:val="24"/>
          <w:szCs w:val="20"/>
        </w:rPr>
        <w:t xml:space="preserve">. </w:t>
      </w:r>
    </w:p>
    <w:p w:rsidR="0030032F" w:rsidRDefault="0030032F" w:rsidP="0030032F">
      <w:pPr>
        <w:pStyle w:val="Heading2"/>
      </w:pPr>
    </w:p>
    <w:p w:rsidR="0030032F" w:rsidRDefault="0030032F" w:rsidP="0030032F">
      <w:pPr>
        <w:pStyle w:val="Heading2"/>
      </w:pPr>
      <w:r>
        <w:t>5.0</w:t>
      </w:r>
      <w:r>
        <w:tab/>
        <w:t>DEFINITIONS</w:t>
      </w:r>
    </w:p>
    <w:p w:rsidR="0088176C" w:rsidRDefault="0088176C" w:rsidP="00102B8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0032F" w:rsidRPr="00102B87" w:rsidRDefault="0030032F" w:rsidP="00102B8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Laboratory: The portion of the organization that calibrates and/or tests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 products as per ISO 17025 calibration lab standards</w:t>
      </w:r>
      <w:r w:rsidRPr="00102B87">
        <w:rPr>
          <w:rFonts w:ascii="Arial" w:eastAsia="Times New Roman" w:hAnsi="Arial" w:cs="Times New Roman"/>
          <w:sz w:val="24"/>
          <w:szCs w:val="20"/>
        </w:rPr>
        <w:t>.</w:t>
      </w:r>
    </w:p>
    <w:p w:rsidR="0030032F" w:rsidRPr="00102B87" w:rsidRDefault="0030032F" w:rsidP="00102B8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Metrology: The science of measurements.</w:t>
      </w:r>
    </w:p>
    <w:p w:rsidR="0030032F" w:rsidRDefault="0030032F" w:rsidP="0030032F">
      <w:pPr>
        <w:pStyle w:val="Heading2"/>
      </w:pPr>
      <w:r>
        <w:lastRenderedPageBreak/>
        <w:t>6.0</w:t>
      </w:r>
      <w:r>
        <w:tab/>
        <w:t>SAFETY PRECAUTIONS</w:t>
      </w:r>
    </w:p>
    <w:p w:rsidR="0030032F" w:rsidRDefault="0030032F" w:rsidP="0030032F">
      <w:pPr>
        <w:pStyle w:val="ListParagraph"/>
      </w:pPr>
    </w:p>
    <w:p w:rsidR="0030032F" w:rsidRPr="00102B87" w:rsidRDefault="00102B87" w:rsidP="00102B8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Follow all generally practiced guideline</w:t>
      </w:r>
      <w:r w:rsidR="00F46E8C">
        <w:rPr>
          <w:rFonts w:ascii="Arial" w:eastAsia="Times New Roman" w:hAnsi="Arial" w:cs="Times New Roman"/>
          <w:sz w:val="24"/>
          <w:szCs w:val="20"/>
        </w:rPr>
        <w:t>s</w:t>
      </w:r>
      <w:r w:rsidRPr="00102B87">
        <w:rPr>
          <w:rFonts w:ascii="Arial" w:eastAsia="Times New Roman" w:hAnsi="Arial" w:cs="Times New Roman"/>
          <w:sz w:val="24"/>
          <w:szCs w:val="20"/>
        </w:rPr>
        <w:t xml:space="preserve"> when handli</w:t>
      </w:r>
      <w:r w:rsidR="00F46E8C">
        <w:rPr>
          <w:rFonts w:ascii="Arial" w:eastAsia="Times New Roman" w:hAnsi="Arial" w:cs="Times New Roman"/>
          <w:sz w:val="24"/>
          <w:szCs w:val="20"/>
        </w:rPr>
        <w:t xml:space="preserve">ng equipment as stated in </w:t>
      </w:r>
      <w:r w:rsidR="001A7917">
        <w:rPr>
          <w:rFonts w:ascii="Arial" w:eastAsia="Times New Roman" w:hAnsi="Arial" w:cs="Times New Roman"/>
          <w:sz w:val="24"/>
          <w:szCs w:val="20"/>
        </w:rPr>
        <w:t>owner’s</w:t>
      </w:r>
      <w:r w:rsidRPr="00102B87">
        <w:rPr>
          <w:rFonts w:ascii="Arial" w:eastAsia="Times New Roman" w:hAnsi="Arial" w:cs="Times New Roman"/>
          <w:sz w:val="24"/>
          <w:szCs w:val="20"/>
        </w:rPr>
        <w:t xml:space="preserve"> manuals.</w:t>
      </w:r>
    </w:p>
    <w:p w:rsidR="0030032F" w:rsidRDefault="0030032F" w:rsidP="0030032F">
      <w:pPr>
        <w:rPr>
          <w:rFonts w:ascii="Arial" w:hAnsi="Arial"/>
        </w:rPr>
      </w:pPr>
    </w:p>
    <w:p w:rsidR="0030032F" w:rsidRDefault="0030032F" w:rsidP="0030032F">
      <w:pPr>
        <w:pStyle w:val="Heading2"/>
      </w:pPr>
      <w:r>
        <w:t>7.0</w:t>
      </w:r>
      <w:r>
        <w:tab/>
        <w:t>EQUIPMENT &amp; MATERIALS</w:t>
      </w:r>
    </w:p>
    <w:p w:rsidR="00102B87" w:rsidRDefault="00102B87" w:rsidP="0030032F">
      <w:pPr>
        <w:pStyle w:val="ListParagraph"/>
      </w:pPr>
    </w:p>
    <w:p w:rsidR="00DD4E46" w:rsidRDefault="00DD4E46" w:rsidP="00DD4E46">
      <w:pPr>
        <w:pStyle w:val="Heading2"/>
      </w:pPr>
      <w:r>
        <w:t>8.0</w:t>
      </w:r>
      <w:r>
        <w:tab/>
      </w:r>
      <w:r w:rsidR="006E2482">
        <w:t>I</w:t>
      </w:r>
      <w:r w:rsidR="003F3C6B">
        <w:t>NSTRUCTION</w:t>
      </w:r>
    </w:p>
    <w:p w:rsidR="00DD4E46" w:rsidRDefault="00DD4E46" w:rsidP="00DD4E46">
      <w:pPr>
        <w:pStyle w:val="Heading2"/>
      </w:pPr>
    </w:p>
    <w:p w:rsidR="00DD4E46" w:rsidRPr="006E2482" w:rsidRDefault="006E2482" w:rsidP="006E24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6E2482">
        <w:rPr>
          <w:rFonts w:ascii="Arial" w:eastAsia="Times New Roman" w:hAnsi="Arial" w:cs="Times New Roman"/>
          <w:sz w:val="24"/>
          <w:szCs w:val="20"/>
        </w:rPr>
        <w:t xml:space="preserve">All test equipment and reference standards that are used as part of the 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ISO </w:t>
      </w:r>
      <w:r w:rsidRPr="006E2482">
        <w:rPr>
          <w:rFonts w:ascii="Arial" w:eastAsia="Times New Roman" w:hAnsi="Arial" w:cs="Times New Roman"/>
          <w:sz w:val="24"/>
          <w:szCs w:val="20"/>
        </w:rPr>
        <w:t xml:space="preserve">17025 laboratory areas 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may not be removed from nor returned to the laboratory area without 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recording the action </w:t>
      </w:r>
      <w:r w:rsidR="00E276DA">
        <w:rPr>
          <w:rFonts w:ascii="Arial" w:eastAsia="Times New Roman" w:hAnsi="Arial" w:cs="Times New Roman"/>
          <w:sz w:val="24"/>
          <w:szCs w:val="20"/>
        </w:rPr>
        <w:t>in the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 </w:t>
      </w:r>
      <w:r w:rsidR="00D818F0">
        <w:rPr>
          <w:rFonts w:ascii="Arial" w:eastAsia="Times New Roman" w:hAnsi="Arial" w:cs="Times New Roman"/>
          <w:sz w:val="24"/>
          <w:szCs w:val="20"/>
        </w:rPr>
        <w:t xml:space="preserve">ISO </w:t>
      </w:r>
      <w:r w:rsidR="003F3C6B">
        <w:rPr>
          <w:rFonts w:ascii="Arial" w:eastAsia="Times New Roman" w:hAnsi="Arial" w:cs="Times New Roman"/>
          <w:sz w:val="24"/>
          <w:szCs w:val="20"/>
        </w:rPr>
        <w:t>17025 Reference Equipment Log (D0002.</w:t>
      </w:r>
      <w:r w:rsidR="003F4144">
        <w:rPr>
          <w:rFonts w:ascii="Arial" w:eastAsia="Times New Roman" w:hAnsi="Arial" w:cs="Times New Roman"/>
          <w:sz w:val="24"/>
          <w:szCs w:val="20"/>
        </w:rPr>
        <w:t>0023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-2) controlled by the Production Manager. </w:t>
      </w:r>
      <w:r w:rsidR="000B4C44">
        <w:rPr>
          <w:rFonts w:ascii="Arial" w:eastAsia="Times New Roman" w:hAnsi="Arial" w:cs="Times New Roman"/>
          <w:sz w:val="24"/>
          <w:szCs w:val="20"/>
        </w:rPr>
        <w:t xml:space="preserve">Reference points must be recorded 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upon checking out and returning this equipment or </w:t>
      </w:r>
      <w:r w:rsidR="00E276DA">
        <w:rPr>
          <w:rFonts w:ascii="Arial" w:eastAsia="Times New Roman" w:hAnsi="Arial" w:cs="Times New Roman"/>
          <w:sz w:val="24"/>
          <w:szCs w:val="20"/>
        </w:rPr>
        <w:t>standard by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 the individual removing or returning the equipment or standard. These reference points are defined in the Master Log (D0002.</w:t>
      </w:r>
      <w:r w:rsidR="00E276DA">
        <w:rPr>
          <w:rFonts w:ascii="Arial" w:eastAsia="Times New Roman" w:hAnsi="Arial" w:cs="Times New Roman"/>
          <w:sz w:val="24"/>
          <w:szCs w:val="20"/>
        </w:rPr>
        <w:t>0023</w:t>
      </w:r>
      <w:r w:rsidR="003F3C6B">
        <w:rPr>
          <w:rFonts w:ascii="Arial" w:eastAsia="Times New Roman" w:hAnsi="Arial" w:cs="Times New Roman"/>
          <w:sz w:val="24"/>
          <w:szCs w:val="20"/>
        </w:rPr>
        <w:t>-1) f</w:t>
      </w:r>
      <w:r w:rsidR="00F46E8C">
        <w:rPr>
          <w:rFonts w:ascii="Arial" w:eastAsia="Times New Roman" w:hAnsi="Arial" w:cs="Times New Roman"/>
          <w:sz w:val="24"/>
          <w:szCs w:val="20"/>
        </w:rPr>
        <w:t>ound with the reference log</w:t>
      </w:r>
      <w:r w:rsidR="003F3C6B">
        <w:rPr>
          <w:rFonts w:ascii="Arial" w:eastAsia="Times New Roman" w:hAnsi="Arial" w:cs="Times New Roman"/>
          <w:sz w:val="24"/>
          <w:szCs w:val="20"/>
        </w:rPr>
        <w:t xml:space="preserve">. </w:t>
      </w:r>
    </w:p>
    <w:p w:rsidR="000B4C44" w:rsidRDefault="000B4C44" w:rsidP="0030032F">
      <w:pPr>
        <w:pStyle w:val="Heading2"/>
      </w:pPr>
    </w:p>
    <w:p w:rsidR="0030032F" w:rsidRDefault="006E2482" w:rsidP="0030032F">
      <w:pPr>
        <w:pStyle w:val="Heading2"/>
      </w:pPr>
      <w:r>
        <w:t>9</w:t>
      </w:r>
      <w:r w:rsidR="0030032F">
        <w:t>.0</w:t>
      </w:r>
      <w:r w:rsidR="0030032F">
        <w:tab/>
        <w:t>DISTRIBUTION</w:t>
      </w:r>
    </w:p>
    <w:p w:rsidR="0030032F" w:rsidRPr="00102B87" w:rsidRDefault="0030032F" w:rsidP="00102B8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Engineering</w:t>
      </w:r>
    </w:p>
    <w:p w:rsidR="0030032F" w:rsidRPr="00102B87" w:rsidRDefault="0030032F" w:rsidP="00102B8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Production</w:t>
      </w:r>
    </w:p>
    <w:p w:rsidR="0030032F" w:rsidRPr="00102B87" w:rsidRDefault="0030032F" w:rsidP="00102B8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Repair and Calibration</w:t>
      </w:r>
    </w:p>
    <w:p w:rsidR="0030032F" w:rsidRDefault="0030032F" w:rsidP="00102B8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02B87">
        <w:rPr>
          <w:rFonts w:ascii="Arial" w:eastAsia="Times New Roman" w:hAnsi="Arial" w:cs="Times New Roman"/>
          <w:sz w:val="24"/>
          <w:szCs w:val="20"/>
        </w:rPr>
        <w:t>Quality Assurance</w:t>
      </w:r>
    </w:p>
    <w:p w:rsidR="006E2482" w:rsidRDefault="006E2482" w:rsidP="006E24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6E2482" w:rsidRDefault="00F46E8C" w:rsidP="006E2482">
      <w:pPr>
        <w:pStyle w:val="Heading2"/>
        <w:numPr>
          <w:ilvl w:val="0"/>
          <w:numId w:val="4"/>
        </w:numPr>
      </w:pPr>
      <w:r>
        <w:tab/>
      </w:r>
      <w:r w:rsidR="006E2482">
        <w:t>RECORDS</w:t>
      </w:r>
    </w:p>
    <w:p w:rsidR="006E2482" w:rsidRDefault="006E2482" w:rsidP="006E24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6E2482" w:rsidRPr="006E2482" w:rsidRDefault="006E2482" w:rsidP="006E24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L</w:t>
      </w:r>
      <w:r w:rsidRPr="006E2482">
        <w:rPr>
          <w:rFonts w:ascii="Arial" w:eastAsia="Times New Roman" w:hAnsi="Arial" w:cs="Times New Roman"/>
          <w:sz w:val="24"/>
          <w:szCs w:val="20"/>
        </w:rPr>
        <w:t>og records shall be maintain for a minimum of three years.</w:t>
      </w:r>
    </w:p>
    <w:p w:rsidR="00102B87" w:rsidRDefault="00102B87" w:rsidP="0030032F">
      <w:pPr>
        <w:pStyle w:val="Heading2"/>
      </w:pPr>
    </w:p>
    <w:p w:rsidR="0030032F" w:rsidRDefault="006E2482" w:rsidP="0030032F">
      <w:pPr>
        <w:pStyle w:val="Heading2"/>
      </w:pPr>
      <w:r>
        <w:t>11</w:t>
      </w:r>
      <w:r w:rsidR="0030032F">
        <w:t>.0</w:t>
      </w:r>
      <w:r w:rsidR="0030032F">
        <w:tab/>
        <w:t>REVISIONS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792"/>
        <w:gridCol w:w="1283"/>
        <w:gridCol w:w="990"/>
        <w:gridCol w:w="5215"/>
      </w:tblGrid>
      <w:tr w:rsidR="0030032F" w:rsidTr="001B4348">
        <w:tc>
          <w:tcPr>
            <w:tcW w:w="1070" w:type="dxa"/>
          </w:tcPr>
          <w:p w:rsidR="0030032F" w:rsidRDefault="0030032F" w:rsidP="00B13A4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DCO #</w:t>
            </w:r>
          </w:p>
        </w:tc>
        <w:tc>
          <w:tcPr>
            <w:tcW w:w="792" w:type="dxa"/>
          </w:tcPr>
          <w:p w:rsidR="0030032F" w:rsidRDefault="0030032F" w:rsidP="00B13A4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REV</w:t>
            </w:r>
          </w:p>
        </w:tc>
        <w:tc>
          <w:tcPr>
            <w:tcW w:w="1283" w:type="dxa"/>
          </w:tcPr>
          <w:p w:rsidR="0030032F" w:rsidRDefault="0030032F" w:rsidP="00B13A4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990" w:type="dxa"/>
          </w:tcPr>
          <w:p w:rsidR="0030032F" w:rsidRDefault="0030032F" w:rsidP="00B13A4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INITIAL</w:t>
            </w:r>
          </w:p>
        </w:tc>
        <w:tc>
          <w:tcPr>
            <w:tcW w:w="5215" w:type="dxa"/>
          </w:tcPr>
          <w:p w:rsidR="0030032F" w:rsidRDefault="0030032F" w:rsidP="00B13A4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CHANGES</w:t>
            </w:r>
          </w:p>
        </w:tc>
      </w:tr>
      <w:tr w:rsidR="0030032F" w:rsidTr="001B4348">
        <w:trPr>
          <w:trHeight w:val="368"/>
        </w:trPr>
        <w:tc>
          <w:tcPr>
            <w:tcW w:w="1070" w:type="dxa"/>
          </w:tcPr>
          <w:p w:rsidR="0030032F" w:rsidRPr="008E6F1D" w:rsidRDefault="00267564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1498</w:t>
            </w:r>
            <w:r w:rsidR="008E6F1D" w:rsidRPr="008E6F1D">
              <w:rPr>
                <w:rFonts w:ascii="Arial" w:hAnsi="Arial" w:cs="Arial"/>
              </w:rPr>
              <w:t>C</w:t>
            </w:r>
          </w:p>
        </w:tc>
        <w:tc>
          <w:tcPr>
            <w:tcW w:w="792" w:type="dxa"/>
          </w:tcPr>
          <w:p w:rsidR="0030032F" w:rsidRPr="008E6F1D" w:rsidRDefault="008E6F1D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A</w:t>
            </w:r>
          </w:p>
        </w:tc>
        <w:tc>
          <w:tcPr>
            <w:tcW w:w="1283" w:type="dxa"/>
          </w:tcPr>
          <w:p w:rsidR="0030032F" w:rsidRPr="008E6F1D" w:rsidRDefault="00102B87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5-15-2014</w:t>
            </w:r>
          </w:p>
        </w:tc>
        <w:tc>
          <w:tcPr>
            <w:tcW w:w="990" w:type="dxa"/>
          </w:tcPr>
          <w:p w:rsidR="0030032F" w:rsidRPr="008E6F1D" w:rsidRDefault="00102B87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DSM</w:t>
            </w:r>
          </w:p>
        </w:tc>
        <w:tc>
          <w:tcPr>
            <w:tcW w:w="5215" w:type="dxa"/>
          </w:tcPr>
          <w:p w:rsidR="001A7917" w:rsidRPr="008E6F1D" w:rsidRDefault="0030032F" w:rsidP="008E6F1D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Initial Release</w:t>
            </w:r>
          </w:p>
        </w:tc>
      </w:tr>
      <w:tr w:rsidR="0030032F" w:rsidTr="001B4348">
        <w:trPr>
          <w:trHeight w:val="305"/>
        </w:trPr>
        <w:tc>
          <w:tcPr>
            <w:tcW w:w="1070" w:type="dxa"/>
          </w:tcPr>
          <w:p w:rsidR="0030032F" w:rsidRPr="008E6F1D" w:rsidRDefault="008E6F1D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1502</w:t>
            </w:r>
          </w:p>
        </w:tc>
        <w:tc>
          <w:tcPr>
            <w:tcW w:w="792" w:type="dxa"/>
          </w:tcPr>
          <w:p w:rsidR="0030032F" w:rsidRPr="008E6F1D" w:rsidRDefault="008E6F1D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B</w:t>
            </w:r>
          </w:p>
        </w:tc>
        <w:tc>
          <w:tcPr>
            <w:tcW w:w="1283" w:type="dxa"/>
          </w:tcPr>
          <w:p w:rsidR="0030032F" w:rsidRPr="008E6F1D" w:rsidRDefault="003F4144" w:rsidP="00B5064A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6-</w:t>
            </w:r>
            <w:r w:rsidR="00B5064A">
              <w:rPr>
                <w:rFonts w:ascii="Arial" w:hAnsi="Arial" w:cs="Arial"/>
              </w:rPr>
              <w:t>19</w:t>
            </w:r>
            <w:r w:rsidRPr="008E6F1D">
              <w:rPr>
                <w:rFonts w:ascii="Arial" w:hAnsi="Arial" w:cs="Arial"/>
              </w:rPr>
              <w:t>-2014</w:t>
            </w:r>
          </w:p>
        </w:tc>
        <w:tc>
          <w:tcPr>
            <w:tcW w:w="990" w:type="dxa"/>
          </w:tcPr>
          <w:p w:rsidR="0030032F" w:rsidRPr="008E6F1D" w:rsidRDefault="003F4144" w:rsidP="00B13A4B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DAR</w:t>
            </w:r>
          </w:p>
        </w:tc>
        <w:tc>
          <w:tcPr>
            <w:tcW w:w="5215" w:type="dxa"/>
          </w:tcPr>
          <w:p w:rsidR="0030032F" w:rsidRPr="008E6F1D" w:rsidRDefault="003F4144" w:rsidP="003F4144">
            <w:pPr>
              <w:rPr>
                <w:rFonts w:ascii="Arial" w:hAnsi="Arial" w:cs="Arial"/>
              </w:rPr>
            </w:pPr>
            <w:r w:rsidRPr="008E6F1D">
              <w:rPr>
                <w:rFonts w:ascii="Arial" w:hAnsi="Arial" w:cs="Arial"/>
              </w:rPr>
              <w:t>Correct reference to Reference Equipment Log</w:t>
            </w:r>
          </w:p>
        </w:tc>
      </w:tr>
      <w:tr w:rsidR="0030032F" w:rsidTr="001B4348">
        <w:trPr>
          <w:trHeight w:val="395"/>
        </w:trPr>
        <w:tc>
          <w:tcPr>
            <w:tcW w:w="1070" w:type="dxa"/>
          </w:tcPr>
          <w:p w:rsidR="0030032F" w:rsidRPr="008E6F1D" w:rsidRDefault="00D70D85" w:rsidP="00B1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1872</w:t>
            </w:r>
          </w:p>
        </w:tc>
        <w:tc>
          <w:tcPr>
            <w:tcW w:w="792" w:type="dxa"/>
          </w:tcPr>
          <w:p w:rsidR="0030032F" w:rsidRPr="008E6F1D" w:rsidRDefault="00D70D85" w:rsidP="00B1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3" w:type="dxa"/>
          </w:tcPr>
          <w:p w:rsidR="0030032F" w:rsidRPr="008E6F1D" w:rsidRDefault="00D70D85" w:rsidP="00B1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1-30-2019</w:t>
            </w:r>
          </w:p>
        </w:tc>
        <w:tc>
          <w:tcPr>
            <w:tcW w:w="990" w:type="dxa"/>
          </w:tcPr>
          <w:p w:rsidR="0030032F" w:rsidRPr="008E6F1D" w:rsidRDefault="00D70D85" w:rsidP="00B1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5215" w:type="dxa"/>
          </w:tcPr>
          <w:p w:rsidR="0030032F" w:rsidRPr="008E6F1D" w:rsidRDefault="00D70D85" w:rsidP="00B1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Changed reference to ISO 17025:2017</w:t>
            </w:r>
          </w:p>
        </w:tc>
      </w:tr>
    </w:tbl>
    <w:p w:rsidR="00032A4F" w:rsidRDefault="00032A4F" w:rsidP="0030032F">
      <w:pPr>
        <w:pStyle w:val="ListParagraph"/>
        <w:ind w:left="0"/>
      </w:pPr>
      <w:bookmarkStart w:id="0" w:name="_GoBack"/>
      <w:bookmarkEnd w:id="0"/>
    </w:p>
    <w:sectPr w:rsidR="00032A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A8" w:rsidRDefault="00757AA8" w:rsidP="00032A4F">
      <w:pPr>
        <w:spacing w:after="0" w:line="240" w:lineRule="auto"/>
      </w:pPr>
      <w:r>
        <w:separator/>
      </w:r>
    </w:p>
  </w:endnote>
  <w:endnote w:type="continuationSeparator" w:id="0">
    <w:p w:rsidR="00757AA8" w:rsidRDefault="00757AA8" w:rsidP="0003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A8" w:rsidRDefault="00757AA8" w:rsidP="00032A4F">
      <w:pPr>
        <w:spacing w:after="0" w:line="240" w:lineRule="auto"/>
      </w:pPr>
      <w:r>
        <w:separator/>
      </w:r>
    </w:p>
  </w:footnote>
  <w:footnote w:type="continuationSeparator" w:id="0">
    <w:p w:rsidR="00757AA8" w:rsidRDefault="00757AA8" w:rsidP="0003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4F" w:rsidRPr="00032A4F" w:rsidRDefault="00E276DA" w:rsidP="00032A4F">
    <w:pPr>
      <w:pStyle w:val="Header"/>
      <w:tabs>
        <w:tab w:val="clear" w:pos="4680"/>
        <w:tab w:val="clear" w:pos="9360"/>
      </w:tabs>
      <w:rPr>
        <w:rFonts w:ascii="Arial" w:eastAsia="Times New Roman" w:hAnsi="Arial" w:cs="Times New Roman"/>
        <w:sz w:val="20"/>
        <w:szCs w:val="20"/>
      </w:rPr>
    </w:pPr>
    <w:r>
      <w:rPr>
        <w:rFonts w:ascii="Arial" w:eastAsia="Times New Roman" w:hAnsi="Arial" w:cs="Times New Roman"/>
        <w:sz w:val="20"/>
        <w:szCs w:val="20"/>
      </w:rPr>
      <w:t>Ti</w:t>
    </w:r>
    <w:r w:rsidR="00032A4F" w:rsidRPr="00032A4F">
      <w:rPr>
        <w:rFonts w:ascii="Arial" w:eastAsia="Times New Roman" w:hAnsi="Arial" w:cs="Times New Roman"/>
        <w:sz w:val="20"/>
        <w:szCs w:val="20"/>
      </w:rPr>
      <w:t xml:space="preserve">tle:                     </w:t>
    </w:r>
    <w:r w:rsidR="00206AB6">
      <w:rPr>
        <w:rFonts w:ascii="Arial" w:eastAsia="Times New Roman" w:hAnsi="Arial" w:cs="Times New Roman"/>
        <w:sz w:val="20"/>
        <w:szCs w:val="20"/>
      </w:rPr>
      <w:t xml:space="preserve">ISO </w:t>
    </w:r>
    <w:r w:rsidR="00032A4F" w:rsidRPr="00032A4F">
      <w:rPr>
        <w:rFonts w:ascii="Arial" w:eastAsia="Times New Roman" w:hAnsi="Arial" w:cs="Times New Roman"/>
        <w:sz w:val="20"/>
        <w:szCs w:val="20"/>
      </w:rPr>
      <w:t>17025 Reference Equipment Handling                               Author: Scott McIlrath</w:t>
    </w:r>
  </w:p>
  <w:p w:rsidR="00032A4F" w:rsidRPr="00032A4F" w:rsidRDefault="00032A4F" w:rsidP="00032A4F">
    <w:pPr>
      <w:pStyle w:val="Header"/>
      <w:tabs>
        <w:tab w:val="clear" w:pos="4680"/>
        <w:tab w:val="clear" w:pos="9360"/>
      </w:tabs>
      <w:rPr>
        <w:rFonts w:ascii="Arial" w:eastAsia="Times New Roman" w:hAnsi="Arial" w:cs="Times New Roman"/>
        <w:sz w:val="20"/>
        <w:szCs w:val="20"/>
      </w:rPr>
    </w:pPr>
    <w:r w:rsidRPr="00032A4F">
      <w:rPr>
        <w:rFonts w:ascii="Arial" w:eastAsia="Times New Roman" w:hAnsi="Arial" w:cs="Times New Roman"/>
        <w:sz w:val="20"/>
        <w:szCs w:val="20"/>
      </w:rPr>
      <w:t xml:space="preserve">DOC Number:    </w:t>
    </w:r>
    <w:r>
      <w:rPr>
        <w:rFonts w:ascii="Arial" w:eastAsia="Times New Roman" w:hAnsi="Arial" w:cs="Times New Roman"/>
        <w:sz w:val="20"/>
        <w:szCs w:val="20"/>
      </w:rPr>
      <w:t xml:space="preserve">  </w:t>
    </w:r>
    <w:r w:rsidRPr="00032A4F">
      <w:rPr>
        <w:rFonts w:ascii="Arial" w:eastAsia="Times New Roman" w:hAnsi="Arial" w:cs="Times New Roman"/>
        <w:sz w:val="20"/>
        <w:szCs w:val="20"/>
      </w:rPr>
      <w:t>D0002.</w:t>
    </w:r>
    <w:r w:rsidR="001A7917">
      <w:rPr>
        <w:rFonts w:ascii="Arial" w:eastAsia="Times New Roman" w:hAnsi="Arial" w:cs="Times New Roman"/>
        <w:sz w:val="20"/>
        <w:szCs w:val="20"/>
      </w:rPr>
      <w:t>00</w:t>
    </w:r>
    <w:r w:rsidR="00AB63C5">
      <w:rPr>
        <w:rFonts w:ascii="Arial" w:eastAsia="Times New Roman" w:hAnsi="Arial" w:cs="Times New Roman"/>
        <w:sz w:val="20"/>
        <w:szCs w:val="20"/>
      </w:rPr>
      <w:t>23</w:t>
    </w:r>
  </w:p>
  <w:p w:rsidR="00032A4F" w:rsidRPr="00032A4F" w:rsidRDefault="00032A4F" w:rsidP="00032A4F">
    <w:pPr>
      <w:pStyle w:val="Header"/>
      <w:tabs>
        <w:tab w:val="clear" w:pos="4680"/>
        <w:tab w:val="clear" w:pos="9360"/>
      </w:tabs>
      <w:rPr>
        <w:rFonts w:ascii="Arial" w:eastAsia="Times New Roman" w:hAnsi="Arial" w:cs="Times New Roman"/>
        <w:sz w:val="20"/>
        <w:szCs w:val="20"/>
      </w:rPr>
    </w:pPr>
    <w:r w:rsidRPr="00032A4F">
      <w:rPr>
        <w:rFonts w:ascii="Arial" w:eastAsia="Times New Roman" w:hAnsi="Arial" w:cs="Times New Roman"/>
        <w:sz w:val="20"/>
        <w:szCs w:val="20"/>
      </w:rPr>
      <w:t xml:space="preserve">Revision:              </w:t>
    </w:r>
    <w:r w:rsidR="00D70D85">
      <w:rPr>
        <w:rFonts w:ascii="Arial" w:eastAsia="Times New Roman" w:hAnsi="Arial" w:cs="Times New Roman"/>
        <w:sz w:val="20"/>
        <w:szCs w:val="20"/>
      </w:rPr>
      <w:t>C</w:t>
    </w:r>
  </w:p>
  <w:p w:rsidR="00032A4F" w:rsidRDefault="00032A4F" w:rsidP="00032A4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38100</wp:posOffset>
              </wp:positionV>
              <wp:extent cx="65246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59E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pt" to="496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C03"/>
    <w:multiLevelType w:val="multilevel"/>
    <w:tmpl w:val="FB8857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6401728"/>
    <w:multiLevelType w:val="multilevel"/>
    <w:tmpl w:val="38F806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2" w15:restartNumberingAfterBreak="0">
    <w:nsid w:val="275658FE"/>
    <w:multiLevelType w:val="hybridMultilevel"/>
    <w:tmpl w:val="B730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314F"/>
    <w:multiLevelType w:val="multilevel"/>
    <w:tmpl w:val="ADF2BCFA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AFB354A"/>
    <w:multiLevelType w:val="hybridMultilevel"/>
    <w:tmpl w:val="2E4CA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4F"/>
    <w:rsid w:val="00032A4F"/>
    <w:rsid w:val="00090C74"/>
    <w:rsid w:val="000B4C44"/>
    <w:rsid w:val="00102B87"/>
    <w:rsid w:val="00177F25"/>
    <w:rsid w:val="00182857"/>
    <w:rsid w:val="00195BEC"/>
    <w:rsid w:val="001A7917"/>
    <w:rsid w:val="001B4348"/>
    <w:rsid w:val="00206AB6"/>
    <w:rsid w:val="00240282"/>
    <w:rsid w:val="00267564"/>
    <w:rsid w:val="0030032F"/>
    <w:rsid w:val="00317D25"/>
    <w:rsid w:val="003F3C6B"/>
    <w:rsid w:val="003F4144"/>
    <w:rsid w:val="00481742"/>
    <w:rsid w:val="005A0EEA"/>
    <w:rsid w:val="005E36E1"/>
    <w:rsid w:val="006D508C"/>
    <w:rsid w:val="006E2482"/>
    <w:rsid w:val="00757AA8"/>
    <w:rsid w:val="00853560"/>
    <w:rsid w:val="0088176C"/>
    <w:rsid w:val="008E6F1D"/>
    <w:rsid w:val="009B3B1F"/>
    <w:rsid w:val="00A45DCE"/>
    <w:rsid w:val="00AB63C5"/>
    <w:rsid w:val="00B5064A"/>
    <w:rsid w:val="00D03D1C"/>
    <w:rsid w:val="00D70D85"/>
    <w:rsid w:val="00D818F0"/>
    <w:rsid w:val="00D83B3B"/>
    <w:rsid w:val="00DD4E46"/>
    <w:rsid w:val="00E21BC8"/>
    <w:rsid w:val="00E276DA"/>
    <w:rsid w:val="00EB2463"/>
    <w:rsid w:val="00F4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593B"/>
  <w15:docId w15:val="{E918184B-742E-442E-88F5-FCD421CD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032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A4F"/>
  </w:style>
  <w:style w:type="paragraph" w:styleId="Footer">
    <w:name w:val="footer"/>
    <w:basedOn w:val="Normal"/>
    <w:link w:val="FooterChar"/>
    <w:uiPriority w:val="99"/>
    <w:unhideWhenUsed/>
    <w:rsid w:val="0003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A4F"/>
  </w:style>
  <w:style w:type="paragraph" w:styleId="BalloonText">
    <w:name w:val="Balloon Text"/>
    <w:basedOn w:val="Normal"/>
    <w:link w:val="BalloonTextChar"/>
    <w:uiPriority w:val="99"/>
    <w:semiHidden/>
    <w:unhideWhenUsed/>
    <w:rsid w:val="0003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A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0032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F59F-084C-4CAA-913C-FF18BC04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McIlrath</dc:creator>
  <cp:lastModifiedBy>Dan Wilding</cp:lastModifiedBy>
  <cp:revision>3</cp:revision>
  <cp:lastPrinted>2014-05-14T20:51:00Z</cp:lastPrinted>
  <dcterms:created xsi:type="dcterms:W3CDTF">2019-01-30T21:12:00Z</dcterms:created>
  <dcterms:modified xsi:type="dcterms:W3CDTF">2019-01-30T21:20:00Z</dcterms:modified>
</cp:coreProperties>
</file>