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0B" w:rsidRPr="00BE527D" w:rsidRDefault="00E1360B" w:rsidP="004C5B9B">
      <w:pPr>
        <w:spacing w:line="240" w:lineRule="auto"/>
        <w:jc w:val="center"/>
        <w:rPr>
          <w:rFonts w:cs="Arial"/>
          <w:b/>
          <w:szCs w:val="20"/>
        </w:rPr>
      </w:pPr>
    </w:p>
    <w:p w:rsidR="00FD6E04" w:rsidRPr="00BE527D" w:rsidRDefault="00FD6E04" w:rsidP="004C5B9B">
      <w:pPr>
        <w:spacing w:line="240" w:lineRule="auto"/>
        <w:jc w:val="center"/>
        <w:rPr>
          <w:rFonts w:cs="Arial"/>
          <w:b/>
          <w:szCs w:val="20"/>
        </w:rPr>
      </w:pPr>
      <w:r w:rsidRPr="00BE527D">
        <w:rPr>
          <w:rFonts w:cs="Arial"/>
          <w:b/>
          <w:szCs w:val="20"/>
        </w:rPr>
        <w:t>Contents</w:t>
      </w:r>
    </w:p>
    <w:p w:rsidR="00A50249" w:rsidRDefault="00BA7948">
      <w:pPr>
        <w:pStyle w:val="TOC1"/>
        <w:rPr>
          <w:rFonts w:asciiTheme="minorHAnsi" w:eastAsiaTheme="minorEastAsia" w:hAnsiTheme="minorHAnsi" w:cstheme="minorBidi"/>
          <w:noProof/>
          <w:color w:val="auto"/>
          <w:sz w:val="22"/>
          <w:szCs w:val="22"/>
          <w:u w:val="none"/>
        </w:rPr>
      </w:pPr>
      <w:r w:rsidRPr="00BE527D">
        <w:rPr>
          <w:rFonts w:cs="Arial"/>
          <w:szCs w:val="20"/>
        </w:rPr>
        <w:fldChar w:fldCharType="begin"/>
      </w:r>
      <w:r w:rsidRPr="00BE527D">
        <w:rPr>
          <w:rFonts w:cs="Arial"/>
          <w:szCs w:val="20"/>
        </w:rPr>
        <w:instrText xml:space="preserve"> TOC \h \z \t "Router Step,1,Router Last Step,2" </w:instrText>
      </w:r>
      <w:r w:rsidRPr="00BE527D">
        <w:rPr>
          <w:rFonts w:cs="Arial"/>
          <w:szCs w:val="20"/>
        </w:rPr>
        <w:fldChar w:fldCharType="separate"/>
      </w:r>
      <w:hyperlink w:anchor="_Toc65158512" w:history="1">
        <w:r w:rsidR="00A50249" w:rsidRPr="007608AF">
          <w:rPr>
            <w:rStyle w:val="Hyperlink"/>
            <w:rFonts w:cs="Arial"/>
            <w:noProof/>
          </w:rPr>
          <w:t>PURPOSE</w:t>
        </w:r>
        <w:r w:rsidR="00A50249">
          <w:rPr>
            <w:noProof/>
            <w:webHidden/>
          </w:rPr>
          <w:tab/>
        </w:r>
        <w:r w:rsidR="00A50249">
          <w:rPr>
            <w:noProof/>
            <w:webHidden/>
          </w:rPr>
          <w:fldChar w:fldCharType="begin"/>
        </w:r>
        <w:r w:rsidR="00A50249">
          <w:rPr>
            <w:noProof/>
            <w:webHidden/>
          </w:rPr>
          <w:instrText xml:space="preserve"> PAGEREF _Toc65158512 \h </w:instrText>
        </w:r>
        <w:r w:rsidR="00A50249">
          <w:rPr>
            <w:noProof/>
            <w:webHidden/>
          </w:rPr>
        </w:r>
        <w:r w:rsidR="00A50249">
          <w:rPr>
            <w:noProof/>
            <w:webHidden/>
          </w:rPr>
          <w:fldChar w:fldCharType="separate"/>
        </w:r>
        <w:r w:rsidR="00A50249">
          <w:rPr>
            <w:noProof/>
            <w:webHidden/>
          </w:rPr>
          <w:t>1</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13" w:history="1">
        <w:r w:rsidR="00A50249" w:rsidRPr="007608AF">
          <w:rPr>
            <w:rStyle w:val="Hyperlink"/>
            <w:rFonts w:cs="Arial"/>
            <w:noProof/>
          </w:rPr>
          <w:t>RESPONSIBILITIES</w:t>
        </w:r>
        <w:r w:rsidR="00A50249">
          <w:rPr>
            <w:noProof/>
            <w:webHidden/>
          </w:rPr>
          <w:tab/>
        </w:r>
        <w:r w:rsidR="00A50249">
          <w:rPr>
            <w:noProof/>
            <w:webHidden/>
          </w:rPr>
          <w:fldChar w:fldCharType="begin"/>
        </w:r>
        <w:r w:rsidR="00A50249">
          <w:rPr>
            <w:noProof/>
            <w:webHidden/>
          </w:rPr>
          <w:instrText xml:space="preserve"> PAGEREF _Toc65158513 \h </w:instrText>
        </w:r>
        <w:r w:rsidR="00A50249">
          <w:rPr>
            <w:noProof/>
            <w:webHidden/>
          </w:rPr>
        </w:r>
        <w:r w:rsidR="00A50249">
          <w:rPr>
            <w:noProof/>
            <w:webHidden/>
          </w:rPr>
          <w:fldChar w:fldCharType="separate"/>
        </w:r>
        <w:r w:rsidR="00A50249">
          <w:rPr>
            <w:noProof/>
            <w:webHidden/>
          </w:rPr>
          <w:t>1</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14" w:history="1">
        <w:r w:rsidR="00A50249" w:rsidRPr="007608AF">
          <w:rPr>
            <w:rStyle w:val="Hyperlink"/>
            <w:rFonts w:cs="Arial"/>
            <w:noProof/>
          </w:rPr>
          <w:t>AFFECTED DEPARTMENTS / PRODUCT GROUPS / SUPPORT GROUPS</w:t>
        </w:r>
        <w:r w:rsidR="00A50249">
          <w:rPr>
            <w:noProof/>
            <w:webHidden/>
          </w:rPr>
          <w:tab/>
        </w:r>
        <w:r w:rsidR="00A50249">
          <w:rPr>
            <w:noProof/>
            <w:webHidden/>
          </w:rPr>
          <w:fldChar w:fldCharType="begin"/>
        </w:r>
        <w:r w:rsidR="00A50249">
          <w:rPr>
            <w:noProof/>
            <w:webHidden/>
          </w:rPr>
          <w:instrText xml:space="preserve"> PAGEREF _Toc65158514 \h </w:instrText>
        </w:r>
        <w:r w:rsidR="00A50249">
          <w:rPr>
            <w:noProof/>
            <w:webHidden/>
          </w:rPr>
        </w:r>
        <w:r w:rsidR="00A50249">
          <w:rPr>
            <w:noProof/>
            <w:webHidden/>
          </w:rPr>
          <w:fldChar w:fldCharType="separate"/>
        </w:r>
        <w:r w:rsidR="00A50249">
          <w:rPr>
            <w:noProof/>
            <w:webHidden/>
          </w:rPr>
          <w:t>1</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15" w:history="1">
        <w:r w:rsidR="00A50249" w:rsidRPr="007608AF">
          <w:rPr>
            <w:rStyle w:val="Hyperlink"/>
            <w:noProof/>
          </w:rPr>
          <w:t>ASSOCIATED DOCUMENTS</w:t>
        </w:r>
        <w:r w:rsidR="00A50249">
          <w:rPr>
            <w:noProof/>
            <w:webHidden/>
          </w:rPr>
          <w:tab/>
        </w:r>
        <w:r w:rsidR="00A50249">
          <w:rPr>
            <w:noProof/>
            <w:webHidden/>
          </w:rPr>
          <w:fldChar w:fldCharType="begin"/>
        </w:r>
        <w:r w:rsidR="00A50249">
          <w:rPr>
            <w:noProof/>
            <w:webHidden/>
          </w:rPr>
          <w:instrText xml:space="preserve"> PAGEREF _Toc65158515 \h </w:instrText>
        </w:r>
        <w:r w:rsidR="00A50249">
          <w:rPr>
            <w:noProof/>
            <w:webHidden/>
          </w:rPr>
        </w:r>
        <w:r w:rsidR="00A50249">
          <w:rPr>
            <w:noProof/>
            <w:webHidden/>
          </w:rPr>
          <w:fldChar w:fldCharType="separate"/>
        </w:r>
        <w:r w:rsidR="00A50249">
          <w:rPr>
            <w:noProof/>
            <w:webHidden/>
          </w:rPr>
          <w:t>1</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16" w:history="1">
        <w:r w:rsidR="00A50249" w:rsidRPr="007608AF">
          <w:rPr>
            <w:rStyle w:val="Hyperlink"/>
            <w:noProof/>
          </w:rPr>
          <w:t>GENERAL DESCRIPTION AND PRACTICE</w:t>
        </w:r>
        <w:r w:rsidR="00A50249">
          <w:rPr>
            <w:noProof/>
            <w:webHidden/>
          </w:rPr>
          <w:tab/>
        </w:r>
        <w:r w:rsidR="00A50249">
          <w:rPr>
            <w:noProof/>
            <w:webHidden/>
          </w:rPr>
          <w:fldChar w:fldCharType="begin"/>
        </w:r>
        <w:r w:rsidR="00A50249">
          <w:rPr>
            <w:noProof/>
            <w:webHidden/>
          </w:rPr>
          <w:instrText xml:space="preserve"> PAGEREF _Toc65158516 \h </w:instrText>
        </w:r>
        <w:r w:rsidR="00A50249">
          <w:rPr>
            <w:noProof/>
            <w:webHidden/>
          </w:rPr>
        </w:r>
        <w:r w:rsidR="00A50249">
          <w:rPr>
            <w:noProof/>
            <w:webHidden/>
          </w:rPr>
          <w:fldChar w:fldCharType="separate"/>
        </w:r>
        <w:r w:rsidR="00A50249">
          <w:rPr>
            <w:noProof/>
            <w:webHidden/>
          </w:rPr>
          <w:t>1</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17" w:history="1">
        <w:r w:rsidR="00A50249" w:rsidRPr="007608AF">
          <w:rPr>
            <w:rStyle w:val="Hyperlink"/>
            <w:noProof/>
          </w:rPr>
          <w:t>SAFETY PRECAUTIONS</w:t>
        </w:r>
        <w:r w:rsidR="00A50249">
          <w:rPr>
            <w:noProof/>
            <w:webHidden/>
          </w:rPr>
          <w:tab/>
        </w:r>
        <w:r w:rsidR="00A50249">
          <w:rPr>
            <w:noProof/>
            <w:webHidden/>
          </w:rPr>
          <w:fldChar w:fldCharType="begin"/>
        </w:r>
        <w:r w:rsidR="00A50249">
          <w:rPr>
            <w:noProof/>
            <w:webHidden/>
          </w:rPr>
          <w:instrText xml:space="preserve"> PAGEREF _Toc65158517 \h </w:instrText>
        </w:r>
        <w:r w:rsidR="00A50249">
          <w:rPr>
            <w:noProof/>
            <w:webHidden/>
          </w:rPr>
        </w:r>
        <w:r w:rsidR="00A50249">
          <w:rPr>
            <w:noProof/>
            <w:webHidden/>
          </w:rPr>
          <w:fldChar w:fldCharType="separate"/>
        </w:r>
        <w:r w:rsidR="00A50249">
          <w:rPr>
            <w:noProof/>
            <w:webHidden/>
          </w:rPr>
          <w:t>2</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18" w:history="1">
        <w:r w:rsidR="00A50249" w:rsidRPr="007608AF">
          <w:rPr>
            <w:rStyle w:val="Hyperlink"/>
            <w:noProof/>
          </w:rPr>
          <w:t>APPROXIMATE LOT SIZES</w:t>
        </w:r>
        <w:r w:rsidR="00A50249">
          <w:rPr>
            <w:noProof/>
            <w:webHidden/>
          </w:rPr>
          <w:tab/>
        </w:r>
        <w:r w:rsidR="00A50249">
          <w:rPr>
            <w:noProof/>
            <w:webHidden/>
          </w:rPr>
          <w:fldChar w:fldCharType="begin"/>
        </w:r>
        <w:r w:rsidR="00A50249">
          <w:rPr>
            <w:noProof/>
            <w:webHidden/>
          </w:rPr>
          <w:instrText xml:space="preserve"> PAGEREF _Toc65158518 \h </w:instrText>
        </w:r>
        <w:r w:rsidR="00A50249">
          <w:rPr>
            <w:noProof/>
            <w:webHidden/>
          </w:rPr>
        </w:r>
        <w:r w:rsidR="00A50249">
          <w:rPr>
            <w:noProof/>
            <w:webHidden/>
          </w:rPr>
          <w:fldChar w:fldCharType="separate"/>
        </w:r>
        <w:r w:rsidR="00A50249">
          <w:rPr>
            <w:noProof/>
            <w:webHidden/>
          </w:rPr>
          <w:t>3</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19" w:history="1">
        <w:r w:rsidR="00A50249" w:rsidRPr="007608AF">
          <w:rPr>
            <w:rStyle w:val="Hyperlink"/>
            <w:noProof/>
          </w:rPr>
          <w:t>PREPARATION OF SOLUTIONS</w:t>
        </w:r>
        <w:r w:rsidR="00A50249">
          <w:rPr>
            <w:noProof/>
            <w:webHidden/>
          </w:rPr>
          <w:tab/>
        </w:r>
        <w:r w:rsidR="00A50249">
          <w:rPr>
            <w:noProof/>
            <w:webHidden/>
          </w:rPr>
          <w:fldChar w:fldCharType="begin"/>
        </w:r>
        <w:r w:rsidR="00A50249">
          <w:rPr>
            <w:noProof/>
            <w:webHidden/>
          </w:rPr>
          <w:instrText xml:space="preserve"> PAGEREF _Toc65158519 \h </w:instrText>
        </w:r>
        <w:r w:rsidR="00A50249">
          <w:rPr>
            <w:noProof/>
            <w:webHidden/>
          </w:rPr>
        </w:r>
        <w:r w:rsidR="00A50249">
          <w:rPr>
            <w:noProof/>
            <w:webHidden/>
          </w:rPr>
          <w:fldChar w:fldCharType="separate"/>
        </w:r>
        <w:r w:rsidR="00A50249">
          <w:rPr>
            <w:noProof/>
            <w:webHidden/>
          </w:rPr>
          <w:t>3</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0" w:history="1">
        <w:r w:rsidR="00A50249" w:rsidRPr="007608AF">
          <w:rPr>
            <w:rStyle w:val="Hyperlink"/>
            <w:noProof/>
          </w:rPr>
          <w:t>PLATING PROCEDURE</w:t>
        </w:r>
        <w:r w:rsidR="00A50249">
          <w:rPr>
            <w:noProof/>
            <w:webHidden/>
          </w:rPr>
          <w:tab/>
        </w:r>
        <w:r w:rsidR="00A50249">
          <w:rPr>
            <w:noProof/>
            <w:webHidden/>
          </w:rPr>
          <w:fldChar w:fldCharType="begin"/>
        </w:r>
        <w:r w:rsidR="00A50249">
          <w:rPr>
            <w:noProof/>
            <w:webHidden/>
          </w:rPr>
          <w:instrText xml:space="preserve"> PAGEREF _Toc65158520 \h </w:instrText>
        </w:r>
        <w:r w:rsidR="00A50249">
          <w:rPr>
            <w:noProof/>
            <w:webHidden/>
          </w:rPr>
        </w:r>
        <w:r w:rsidR="00A50249">
          <w:rPr>
            <w:noProof/>
            <w:webHidden/>
          </w:rPr>
          <w:fldChar w:fldCharType="separate"/>
        </w:r>
        <w:r w:rsidR="00A50249">
          <w:rPr>
            <w:noProof/>
            <w:webHidden/>
          </w:rPr>
          <w:t>5</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1" w:history="1">
        <w:r w:rsidR="00A50249" w:rsidRPr="007608AF">
          <w:rPr>
            <w:rStyle w:val="Hyperlink"/>
            <w:noProof/>
          </w:rPr>
          <w:t>CLEANING PARTS RECEIVED FROM MACHINING</w:t>
        </w:r>
        <w:r w:rsidR="00A50249">
          <w:rPr>
            <w:noProof/>
            <w:webHidden/>
          </w:rPr>
          <w:tab/>
        </w:r>
        <w:r w:rsidR="00A50249">
          <w:rPr>
            <w:noProof/>
            <w:webHidden/>
          </w:rPr>
          <w:fldChar w:fldCharType="begin"/>
        </w:r>
        <w:r w:rsidR="00A50249">
          <w:rPr>
            <w:noProof/>
            <w:webHidden/>
          </w:rPr>
          <w:instrText xml:space="preserve"> PAGEREF _Toc65158521 \h </w:instrText>
        </w:r>
        <w:r w:rsidR="00A50249">
          <w:rPr>
            <w:noProof/>
            <w:webHidden/>
          </w:rPr>
        </w:r>
        <w:r w:rsidR="00A50249">
          <w:rPr>
            <w:noProof/>
            <w:webHidden/>
          </w:rPr>
          <w:fldChar w:fldCharType="separate"/>
        </w:r>
        <w:r w:rsidR="00A50249">
          <w:rPr>
            <w:noProof/>
            <w:webHidden/>
          </w:rPr>
          <w:t>5</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2" w:history="1">
        <w:r w:rsidR="00A50249" w:rsidRPr="007608AF">
          <w:rPr>
            <w:rStyle w:val="Hyperlink"/>
            <w:noProof/>
          </w:rPr>
          <w:t>CLEANING OF ETCHED GRAINS</w:t>
        </w:r>
        <w:r w:rsidR="00A50249">
          <w:rPr>
            <w:noProof/>
            <w:webHidden/>
          </w:rPr>
          <w:tab/>
        </w:r>
        <w:r w:rsidR="00A50249">
          <w:rPr>
            <w:noProof/>
            <w:webHidden/>
          </w:rPr>
          <w:fldChar w:fldCharType="begin"/>
        </w:r>
        <w:r w:rsidR="00A50249">
          <w:rPr>
            <w:noProof/>
            <w:webHidden/>
          </w:rPr>
          <w:instrText xml:space="preserve"> PAGEREF _Toc65158522 \h </w:instrText>
        </w:r>
        <w:r w:rsidR="00A50249">
          <w:rPr>
            <w:noProof/>
            <w:webHidden/>
          </w:rPr>
        </w:r>
        <w:r w:rsidR="00A50249">
          <w:rPr>
            <w:noProof/>
            <w:webHidden/>
          </w:rPr>
          <w:fldChar w:fldCharType="separate"/>
        </w:r>
        <w:r w:rsidR="00A50249">
          <w:rPr>
            <w:noProof/>
            <w:webHidden/>
          </w:rPr>
          <w:t>5</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3" w:history="1">
        <w:r w:rsidR="00A50249" w:rsidRPr="007608AF">
          <w:rPr>
            <w:rStyle w:val="Hyperlink"/>
            <w:noProof/>
          </w:rPr>
          <w:t>SENSITIZING</w:t>
        </w:r>
        <w:r w:rsidR="00A50249">
          <w:rPr>
            <w:noProof/>
            <w:webHidden/>
          </w:rPr>
          <w:tab/>
        </w:r>
        <w:r w:rsidR="00A50249">
          <w:rPr>
            <w:noProof/>
            <w:webHidden/>
          </w:rPr>
          <w:fldChar w:fldCharType="begin"/>
        </w:r>
        <w:r w:rsidR="00A50249">
          <w:rPr>
            <w:noProof/>
            <w:webHidden/>
          </w:rPr>
          <w:instrText xml:space="preserve"> PAGEREF _Toc65158523 \h </w:instrText>
        </w:r>
        <w:r w:rsidR="00A50249">
          <w:rPr>
            <w:noProof/>
            <w:webHidden/>
          </w:rPr>
        </w:r>
        <w:r w:rsidR="00A50249">
          <w:rPr>
            <w:noProof/>
            <w:webHidden/>
          </w:rPr>
          <w:fldChar w:fldCharType="separate"/>
        </w:r>
        <w:r w:rsidR="00A50249">
          <w:rPr>
            <w:noProof/>
            <w:webHidden/>
          </w:rPr>
          <w:t>6</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4" w:history="1">
        <w:r w:rsidR="00A50249" w:rsidRPr="007608AF">
          <w:rPr>
            <w:rStyle w:val="Hyperlink"/>
            <w:noProof/>
          </w:rPr>
          <w:t>SEEDING</w:t>
        </w:r>
        <w:r w:rsidR="00A50249">
          <w:rPr>
            <w:noProof/>
            <w:webHidden/>
          </w:rPr>
          <w:tab/>
        </w:r>
        <w:r w:rsidR="00A50249">
          <w:rPr>
            <w:noProof/>
            <w:webHidden/>
          </w:rPr>
          <w:fldChar w:fldCharType="begin"/>
        </w:r>
        <w:r w:rsidR="00A50249">
          <w:rPr>
            <w:noProof/>
            <w:webHidden/>
          </w:rPr>
          <w:instrText xml:space="preserve"> PAGEREF _Toc65158524 \h </w:instrText>
        </w:r>
        <w:r w:rsidR="00A50249">
          <w:rPr>
            <w:noProof/>
            <w:webHidden/>
          </w:rPr>
        </w:r>
        <w:r w:rsidR="00A50249">
          <w:rPr>
            <w:noProof/>
            <w:webHidden/>
          </w:rPr>
          <w:fldChar w:fldCharType="separate"/>
        </w:r>
        <w:r w:rsidR="00A50249">
          <w:rPr>
            <w:noProof/>
            <w:webHidden/>
          </w:rPr>
          <w:t>6</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5" w:history="1">
        <w:r w:rsidR="00A50249" w:rsidRPr="007608AF">
          <w:rPr>
            <w:rStyle w:val="Hyperlink"/>
            <w:noProof/>
          </w:rPr>
          <w:t>NICKEL PLATING</w:t>
        </w:r>
        <w:r w:rsidR="00A50249">
          <w:rPr>
            <w:noProof/>
            <w:webHidden/>
          </w:rPr>
          <w:tab/>
        </w:r>
        <w:r w:rsidR="00A50249">
          <w:rPr>
            <w:noProof/>
            <w:webHidden/>
          </w:rPr>
          <w:fldChar w:fldCharType="begin"/>
        </w:r>
        <w:r w:rsidR="00A50249">
          <w:rPr>
            <w:noProof/>
            <w:webHidden/>
          </w:rPr>
          <w:instrText xml:space="preserve"> PAGEREF _Toc65158525 \h </w:instrText>
        </w:r>
        <w:r w:rsidR="00A50249">
          <w:rPr>
            <w:noProof/>
            <w:webHidden/>
          </w:rPr>
        </w:r>
        <w:r w:rsidR="00A50249">
          <w:rPr>
            <w:noProof/>
            <w:webHidden/>
          </w:rPr>
          <w:fldChar w:fldCharType="separate"/>
        </w:r>
        <w:r w:rsidR="00A50249">
          <w:rPr>
            <w:noProof/>
            <w:webHidden/>
          </w:rPr>
          <w:t>7</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6" w:history="1">
        <w:r w:rsidR="00A50249" w:rsidRPr="007608AF">
          <w:rPr>
            <w:rStyle w:val="Hyperlink"/>
            <w:noProof/>
          </w:rPr>
          <w:t>GOLD PLATING</w:t>
        </w:r>
        <w:r w:rsidR="00A50249">
          <w:rPr>
            <w:noProof/>
            <w:webHidden/>
          </w:rPr>
          <w:tab/>
        </w:r>
        <w:r w:rsidR="00A50249">
          <w:rPr>
            <w:noProof/>
            <w:webHidden/>
          </w:rPr>
          <w:fldChar w:fldCharType="begin"/>
        </w:r>
        <w:r w:rsidR="00A50249">
          <w:rPr>
            <w:noProof/>
            <w:webHidden/>
          </w:rPr>
          <w:instrText xml:space="preserve"> PAGEREF _Toc65158526 \h </w:instrText>
        </w:r>
        <w:r w:rsidR="00A50249">
          <w:rPr>
            <w:noProof/>
            <w:webHidden/>
          </w:rPr>
        </w:r>
        <w:r w:rsidR="00A50249">
          <w:rPr>
            <w:noProof/>
            <w:webHidden/>
          </w:rPr>
          <w:fldChar w:fldCharType="separate"/>
        </w:r>
        <w:r w:rsidR="00A50249">
          <w:rPr>
            <w:noProof/>
            <w:webHidden/>
          </w:rPr>
          <w:t>8</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7" w:history="1">
        <w:r w:rsidR="00A50249" w:rsidRPr="007608AF">
          <w:rPr>
            <w:rStyle w:val="Hyperlink"/>
            <w:noProof/>
          </w:rPr>
          <w:t>CLEANUP</w:t>
        </w:r>
        <w:r w:rsidR="00A50249">
          <w:rPr>
            <w:noProof/>
            <w:webHidden/>
          </w:rPr>
          <w:tab/>
        </w:r>
        <w:r w:rsidR="00A50249">
          <w:rPr>
            <w:noProof/>
            <w:webHidden/>
          </w:rPr>
          <w:fldChar w:fldCharType="begin"/>
        </w:r>
        <w:r w:rsidR="00A50249">
          <w:rPr>
            <w:noProof/>
            <w:webHidden/>
          </w:rPr>
          <w:instrText xml:space="preserve"> PAGEREF _Toc65158527 \h </w:instrText>
        </w:r>
        <w:r w:rsidR="00A50249">
          <w:rPr>
            <w:noProof/>
            <w:webHidden/>
          </w:rPr>
        </w:r>
        <w:r w:rsidR="00A50249">
          <w:rPr>
            <w:noProof/>
            <w:webHidden/>
          </w:rPr>
          <w:fldChar w:fldCharType="separate"/>
        </w:r>
        <w:r w:rsidR="00A50249">
          <w:rPr>
            <w:noProof/>
            <w:webHidden/>
          </w:rPr>
          <w:t>10</w:t>
        </w:r>
        <w:r w:rsidR="00A50249">
          <w:rPr>
            <w:noProof/>
            <w:webHidden/>
          </w:rPr>
          <w:fldChar w:fldCharType="end"/>
        </w:r>
      </w:hyperlink>
    </w:p>
    <w:p w:rsidR="00A50249" w:rsidRDefault="002C0D51">
      <w:pPr>
        <w:pStyle w:val="TOC1"/>
        <w:rPr>
          <w:rFonts w:asciiTheme="minorHAnsi" w:eastAsiaTheme="minorEastAsia" w:hAnsiTheme="minorHAnsi" w:cstheme="minorBidi"/>
          <w:noProof/>
          <w:color w:val="auto"/>
          <w:sz w:val="22"/>
          <w:szCs w:val="22"/>
          <w:u w:val="none"/>
        </w:rPr>
      </w:pPr>
      <w:hyperlink w:anchor="_Toc65158528" w:history="1">
        <w:r w:rsidR="00A50249" w:rsidRPr="007608AF">
          <w:rPr>
            <w:rStyle w:val="Hyperlink"/>
            <w:noProof/>
          </w:rPr>
          <w:t>APPENDIX: EQUIPMENT AND CHEMICALS</w:t>
        </w:r>
        <w:r w:rsidR="00A50249">
          <w:rPr>
            <w:noProof/>
            <w:webHidden/>
          </w:rPr>
          <w:tab/>
        </w:r>
        <w:r w:rsidR="00A50249">
          <w:rPr>
            <w:noProof/>
            <w:webHidden/>
          </w:rPr>
          <w:fldChar w:fldCharType="begin"/>
        </w:r>
        <w:r w:rsidR="00A50249">
          <w:rPr>
            <w:noProof/>
            <w:webHidden/>
          </w:rPr>
          <w:instrText xml:space="preserve"> PAGEREF _Toc65158528 \h </w:instrText>
        </w:r>
        <w:r w:rsidR="00A50249">
          <w:rPr>
            <w:noProof/>
            <w:webHidden/>
          </w:rPr>
        </w:r>
        <w:r w:rsidR="00A50249">
          <w:rPr>
            <w:noProof/>
            <w:webHidden/>
          </w:rPr>
          <w:fldChar w:fldCharType="separate"/>
        </w:r>
        <w:r w:rsidR="00A50249">
          <w:rPr>
            <w:noProof/>
            <w:webHidden/>
          </w:rPr>
          <w:t>11</w:t>
        </w:r>
        <w:r w:rsidR="00A50249">
          <w:rPr>
            <w:noProof/>
            <w:webHidden/>
          </w:rPr>
          <w:fldChar w:fldCharType="end"/>
        </w:r>
      </w:hyperlink>
    </w:p>
    <w:p w:rsidR="00FD6E04" w:rsidRPr="00BE527D" w:rsidRDefault="00BA7948" w:rsidP="004C5B9B">
      <w:pPr>
        <w:pStyle w:val="Tabletext"/>
        <w:rPr>
          <w:color w:val="0000FF"/>
          <w:szCs w:val="20"/>
          <w:u w:val="words"/>
        </w:rPr>
      </w:pPr>
      <w:r w:rsidRPr="00BE527D">
        <w:rPr>
          <w:color w:val="0000FF"/>
          <w:szCs w:val="20"/>
          <w:u w:val="words"/>
        </w:rPr>
        <w:fldChar w:fldCharType="end"/>
      </w:r>
    </w:p>
    <w:p w:rsidR="00494327" w:rsidRPr="00A713D7" w:rsidRDefault="00F806A5" w:rsidP="00BF38E9">
      <w:pPr>
        <w:pStyle w:val="RouterStep"/>
        <w:rPr>
          <w:rFonts w:cs="Arial"/>
          <w:szCs w:val="20"/>
        </w:rPr>
      </w:pPr>
      <w:bookmarkStart w:id="0" w:name="_Toc65158512"/>
      <w:r w:rsidRPr="00A713D7">
        <w:rPr>
          <w:rFonts w:cs="Arial"/>
          <w:caps w:val="0"/>
          <w:szCs w:val="20"/>
        </w:rPr>
        <w:t>PURPOSE</w:t>
      </w:r>
      <w:bookmarkEnd w:id="0"/>
    </w:p>
    <w:p w:rsidR="00494327" w:rsidRPr="00A713D7" w:rsidRDefault="00FF23F6" w:rsidP="00F806A5">
      <w:r w:rsidRPr="00A713D7">
        <w:t>The purpose of this procedure is to describe the process used to plate ceramic crystals with electroless nickel and gold plating.</w:t>
      </w:r>
    </w:p>
    <w:p w:rsidR="006A5C35" w:rsidRPr="00A713D7" w:rsidRDefault="006A5C35" w:rsidP="00F806A5"/>
    <w:p w:rsidR="00494327" w:rsidRPr="00A713D7" w:rsidRDefault="00F806A5" w:rsidP="00BF38E9">
      <w:pPr>
        <w:pStyle w:val="RouterStep"/>
        <w:rPr>
          <w:rFonts w:cs="Arial"/>
          <w:szCs w:val="20"/>
        </w:rPr>
      </w:pPr>
      <w:bookmarkStart w:id="1" w:name="_Toc65158513"/>
      <w:r w:rsidRPr="00A713D7">
        <w:rPr>
          <w:rFonts w:cs="Arial"/>
          <w:caps w:val="0"/>
          <w:szCs w:val="20"/>
        </w:rPr>
        <w:t>RESPONSIBILITIES</w:t>
      </w:r>
      <w:bookmarkEnd w:id="1"/>
    </w:p>
    <w:p w:rsidR="00FF23F6" w:rsidRPr="00A713D7" w:rsidRDefault="00FF23F6" w:rsidP="00F806A5">
      <w:pPr>
        <w:rPr>
          <w:b/>
          <w:caps/>
        </w:rPr>
      </w:pPr>
      <w:r w:rsidRPr="00A713D7">
        <w:t>Crystals Department Engineering is responsible for maintaining this procedure.</w:t>
      </w:r>
    </w:p>
    <w:p w:rsidR="00494327" w:rsidRPr="00A713D7" w:rsidRDefault="00FF23F6" w:rsidP="00F806A5">
      <w:r w:rsidRPr="00A713D7">
        <w:t>Crystals Department Management and Technicians are responsible for carrying out this procedure.</w:t>
      </w:r>
    </w:p>
    <w:p w:rsidR="006A5C35" w:rsidRPr="00A713D7" w:rsidRDefault="006A5C35" w:rsidP="00F806A5"/>
    <w:p w:rsidR="00494327" w:rsidRPr="00A713D7" w:rsidRDefault="00F806A5" w:rsidP="00BF38E9">
      <w:pPr>
        <w:pStyle w:val="RouterStep"/>
        <w:rPr>
          <w:rFonts w:cs="Arial"/>
          <w:szCs w:val="20"/>
        </w:rPr>
      </w:pPr>
      <w:bookmarkStart w:id="2" w:name="_Toc65158514"/>
      <w:r w:rsidRPr="00A713D7">
        <w:rPr>
          <w:rFonts w:cs="Arial"/>
          <w:caps w:val="0"/>
          <w:szCs w:val="20"/>
        </w:rPr>
        <w:t>AFFECTED DEPARTMENTS / PRODUCT GROUPS / SUPPORT GROUPS</w:t>
      </w:r>
      <w:bookmarkEnd w:id="2"/>
    </w:p>
    <w:p w:rsidR="00FF23F6" w:rsidRPr="00A713D7" w:rsidRDefault="00494327" w:rsidP="00FF23F6">
      <w:pPr>
        <w:rPr>
          <w:rFonts w:cs="Arial"/>
          <w:szCs w:val="20"/>
        </w:rPr>
      </w:pPr>
      <w:r w:rsidRPr="00A713D7">
        <w:rPr>
          <w:rFonts w:cs="Arial"/>
          <w:szCs w:val="20"/>
        </w:rPr>
        <w:t>Crystals Department</w:t>
      </w:r>
    </w:p>
    <w:p w:rsidR="00FF23F6" w:rsidRPr="00A713D7" w:rsidRDefault="00FF23F6" w:rsidP="00FF23F6">
      <w:pPr>
        <w:rPr>
          <w:rFonts w:cs="Arial"/>
          <w:szCs w:val="20"/>
        </w:rPr>
      </w:pPr>
    </w:p>
    <w:p w:rsidR="00FF23F6" w:rsidRPr="00A713D7" w:rsidRDefault="00F806A5" w:rsidP="00FF23F6">
      <w:pPr>
        <w:pStyle w:val="RouterStep"/>
      </w:pPr>
      <w:bookmarkStart w:id="3" w:name="_Toc65158515"/>
      <w:r w:rsidRPr="00A713D7">
        <w:rPr>
          <w:caps w:val="0"/>
        </w:rPr>
        <w:t>ASSOCIATED DOCUMENTS</w:t>
      </w:r>
      <w:bookmarkEnd w:id="3"/>
    </w:p>
    <w:p w:rsidR="00FF23F6" w:rsidRPr="00A713D7" w:rsidRDefault="00FF23F6" w:rsidP="00FF23F6">
      <w:r w:rsidRPr="00A713D7">
        <w:t>ISO 9001, QAM, QSM, AS9100</w:t>
      </w:r>
    </w:p>
    <w:p w:rsidR="00FF23F6" w:rsidRPr="00A713D7" w:rsidRDefault="00FF23F6" w:rsidP="00FF23F6"/>
    <w:p w:rsidR="00FF23F6" w:rsidRPr="00A713D7" w:rsidRDefault="00FF23F6" w:rsidP="00FF23F6">
      <w:pPr>
        <w:pStyle w:val="RouterStep"/>
      </w:pPr>
      <w:bookmarkStart w:id="4" w:name="_Toc65158516"/>
      <w:r w:rsidRPr="00A713D7">
        <w:t>GENERAL DESCRIPTION AND PRACTICE</w:t>
      </w:r>
      <w:bookmarkEnd w:id="4"/>
    </w:p>
    <w:p w:rsidR="00FF23F6" w:rsidRPr="00A713D7" w:rsidRDefault="00FF23F6" w:rsidP="00FF23F6">
      <w:r w:rsidRPr="00A713D7">
        <w:t>This procedure defines the processes used to apply electroless nickel and gold plating onto ceramic pieces.  The plating is used to collect the charge produced by the crystals in their application.  Electroless gold plating is applied to protect the nickel plating from oxidizing.  The gold replaces the nickel on the outermost surface, so it will not plate onto bare ceramic surfaces.  Both the platings are applied by through a chemical process.</w:t>
      </w:r>
    </w:p>
    <w:p w:rsidR="00FF23F6" w:rsidRPr="00A713D7" w:rsidRDefault="00FF23F6" w:rsidP="00FF23F6">
      <w:r w:rsidRPr="00A713D7">
        <w:t xml:space="preserve">Cleanliness is particularly important in any plating process.  Any contamination on the utensils or parts being plated may prevent the plating from adhering to the ceramic surface.  Therefore, it is very important that once the </w:t>
      </w:r>
      <w:r w:rsidRPr="00A713D7">
        <w:lastRenderedPageBreak/>
        <w:t>ceramic pieces have been cleaned prior to plating, the operator should only handle the pieces when wearing nitrile gloves or finger cots.  Likewise, fixtures, beakers, etc., should be handled in the same manner.</w:t>
      </w:r>
    </w:p>
    <w:p w:rsidR="00FF23F6" w:rsidRPr="00A713D7" w:rsidRDefault="00FF23F6" w:rsidP="006A5C35">
      <w:pPr>
        <w:pStyle w:val="StepNumber10"/>
        <w:numPr>
          <w:ilvl w:val="0"/>
          <w:numId w:val="0"/>
        </w:numPr>
      </w:pPr>
    </w:p>
    <w:p w:rsidR="00FF23F6" w:rsidRPr="00A713D7" w:rsidRDefault="00FF23F6" w:rsidP="00FF23F6">
      <w:pPr>
        <w:pStyle w:val="RouterStep"/>
      </w:pPr>
      <w:bookmarkStart w:id="5" w:name="_Toc65158517"/>
      <w:r w:rsidRPr="00A713D7">
        <w:t>SAFETY PRECAUTIONS</w:t>
      </w:r>
      <w:bookmarkEnd w:id="5"/>
    </w:p>
    <w:p w:rsidR="00FF23F6" w:rsidRPr="00A713D7" w:rsidRDefault="00FF23F6" w:rsidP="00E600F7">
      <w:pPr>
        <w:rPr>
          <w:i/>
        </w:rPr>
      </w:pPr>
      <w:r w:rsidRPr="00A713D7">
        <w:rPr>
          <w:i/>
          <w:u w:val="single"/>
        </w:rPr>
        <w:t>NOTE:</w:t>
      </w:r>
      <w:r w:rsidRPr="00A713D7">
        <w:rPr>
          <w:i/>
        </w:rPr>
        <w:t xml:space="preserve">  The Transene Bright Electroless Gold solution contains potassium gold cyanide, a poison.  This material must be stored and handled in a fume hood.  Handle with extreme caution, avoiding contact with clothing, skin and eyes.  Avoid breathing vapors when plating crystals because the process generates hydrogen cyanide gas.</w:t>
      </w:r>
    </w:p>
    <w:p w:rsidR="00774297" w:rsidRPr="00A713D7" w:rsidRDefault="00774297" w:rsidP="00774297">
      <w:pPr>
        <w:jc w:val="center"/>
        <w:rPr>
          <w:i/>
        </w:rPr>
      </w:pPr>
    </w:p>
    <w:p w:rsidR="00FF23F6" w:rsidRPr="00A713D7" w:rsidRDefault="00FF23F6" w:rsidP="00FF23F6">
      <w:r w:rsidRPr="00A713D7">
        <w:t>The operator may come into contact with the following materials and equipment that requires caution:</w:t>
      </w:r>
    </w:p>
    <w:p w:rsidR="00FF23F6" w:rsidRPr="00A713D7" w:rsidRDefault="00FF23F6" w:rsidP="00FF23F6">
      <w:pPr>
        <w:pStyle w:val="List1Bullet"/>
      </w:pPr>
      <w:r w:rsidRPr="00A713D7">
        <w:t>Acid solutions</w:t>
      </w:r>
    </w:p>
    <w:p w:rsidR="00FF23F6" w:rsidRPr="00A713D7" w:rsidRDefault="00FF23F6" w:rsidP="00FF23F6">
      <w:pPr>
        <w:pStyle w:val="List1Bullet"/>
      </w:pPr>
      <w:r w:rsidRPr="00A713D7">
        <w:t>Base solutions</w:t>
      </w:r>
    </w:p>
    <w:p w:rsidR="00FF23F6" w:rsidRPr="00A713D7" w:rsidRDefault="00FF23F6" w:rsidP="00FF23F6">
      <w:pPr>
        <w:pStyle w:val="List1Bullet"/>
      </w:pPr>
      <w:r w:rsidRPr="00A713D7">
        <w:t>Warm to hot drying ovens (80° – 150°C)</w:t>
      </w:r>
    </w:p>
    <w:p w:rsidR="00FF23F6" w:rsidRPr="00A713D7" w:rsidRDefault="00FF23F6" w:rsidP="00FF23F6">
      <w:pPr>
        <w:pStyle w:val="List1Bullet"/>
      </w:pPr>
      <w:r w:rsidRPr="00A713D7">
        <w:t>Boiling water baths</w:t>
      </w:r>
    </w:p>
    <w:p w:rsidR="00FF23F6" w:rsidRPr="00A713D7" w:rsidRDefault="00FF23F6" w:rsidP="00FF23F6">
      <w:pPr>
        <w:pStyle w:val="List1Bullet"/>
      </w:pPr>
      <w:r w:rsidRPr="00A713D7">
        <w:t>Volatile solvents</w:t>
      </w:r>
    </w:p>
    <w:p w:rsidR="006A5C35" w:rsidRPr="00A713D7" w:rsidRDefault="006A5C35" w:rsidP="006A5C35">
      <w:pPr>
        <w:pStyle w:val="List1Bullet"/>
        <w:numPr>
          <w:ilvl w:val="0"/>
          <w:numId w:val="0"/>
        </w:numPr>
        <w:ind w:left="360"/>
      </w:pPr>
    </w:p>
    <w:p w:rsidR="00FF23F6" w:rsidRPr="00A713D7" w:rsidRDefault="00FF23F6" w:rsidP="00FF23F6">
      <w:r w:rsidRPr="00A713D7">
        <w:t>Common sense and good laboratory practice should be used at all times.</w:t>
      </w:r>
    </w:p>
    <w:p w:rsidR="00FF23F6" w:rsidRPr="00A713D7" w:rsidRDefault="00FF23F6" w:rsidP="00FF23F6">
      <w:r w:rsidRPr="00A713D7">
        <w:t>IN THE CASE OF ANY INJURY, INFORM YOUR SUPERVISOR IMMEDIATELY.</w:t>
      </w:r>
    </w:p>
    <w:p w:rsidR="00FF23F6" w:rsidRPr="00A713D7" w:rsidRDefault="00FF23F6" w:rsidP="00FF23F6">
      <w:pPr>
        <w:pStyle w:val="RouterStep"/>
      </w:pPr>
    </w:p>
    <w:p w:rsidR="00FF23F6" w:rsidRPr="00A713D7" w:rsidRDefault="00FF23F6" w:rsidP="00F806A5">
      <w:pPr>
        <w:rPr>
          <w:b/>
        </w:rPr>
      </w:pPr>
      <w:r w:rsidRPr="00A713D7">
        <w:rPr>
          <w:b/>
        </w:rPr>
        <w:t>HANDLING ACIDS AND BASES</w:t>
      </w:r>
    </w:p>
    <w:p w:rsidR="00FF23F6" w:rsidRPr="00A713D7" w:rsidRDefault="00FF23F6" w:rsidP="00FF23F6">
      <w:pPr>
        <w:pStyle w:val="List1Bullet"/>
      </w:pPr>
      <w:r w:rsidRPr="00A713D7">
        <w:t xml:space="preserve">In any operation that calls for the use of strong acids or bases, use rubber gloves, yellow aprons and sleeves and safety goggles.  </w:t>
      </w:r>
    </w:p>
    <w:p w:rsidR="00FF23F6" w:rsidRPr="00A713D7" w:rsidRDefault="00FF23F6" w:rsidP="00FF23F6">
      <w:pPr>
        <w:pStyle w:val="List1Bullet"/>
      </w:pPr>
      <w:r w:rsidRPr="00A713D7">
        <w:t xml:space="preserve">Avoid all contact, especially the eyes, with these strong solutions and avoid breathing the vapors.  </w:t>
      </w:r>
    </w:p>
    <w:p w:rsidR="00FF23F6" w:rsidRPr="00A713D7" w:rsidRDefault="00FF23F6" w:rsidP="00FF23F6">
      <w:pPr>
        <w:pStyle w:val="List1Bullet"/>
      </w:pPr>
      <w:r w:rsidRPr="00A713D7">
        <w:t xml:space="preserve">Always prepare and use the solutions in the fume hood.  </w:t>
      </w:r>
    </w:p>
    <w:p w:rsidR="00FF23F6" w:rsidRPr="00A713D7" w:rsidRDefault="00FF23F6" w:rsidP="00FF23F6">
      <w:pPr>
        <w:pStyle w:val="List1Bullet"/>
      </w:pPr>
      <w:r w:rsidRPr="00A713D7">
        <w:t xml:space="preserve">Avoid splashing and spills of any of the acid or base solutions.  If for any reason some of the acid comes into contact with the skin, flush immediately with water and neutralize with soda from the acid spill kit.  An Emergency Eyewash station and shower is available in the lab and should be used if necessary.  </w:t>
      </w:r>
    </w:p>
    <w:p w:rsidR="00FF23F6" w:rsidRPr="00A713D7" w:rsidRDefault="00FF23F6" w:rsidP="00FF23F6">
      <w:pPr>
        <w:pStyle w:val="List1Bullet"/>
      </w:pPr>
      <w:r w:rsidRPr="00A713D7">
        <w:t xml:space="preserve">In the case of any accidents, inform your supervisor.  </w:t>
      </w:r>
    </w:p>
    <w:p w:rsidR="00FF23F6" w:rsidRPr="00A713D7" w:rsidRDefault="00FF23F6" w:rsidP="00FF23F6">
      <w:pPr>
        <w:pStyle w:val="List1Bullet"/>
      </w:pPr>
      <w:r w:rsidRPr="00A713D7">
        <w:t xml:space="preserve">Where there is a major spill not in contact with the skin, call your supervisor and then neutralize an acid with soda or dilute a base with water and then clean as with any spill.  </w:t>
      </w:r>
    </w:p>
    <w:p w:rsidR="00FF23F6" w:rsidRPr="00A713D7" w:rsidRDefault="00FF23F6" w:rsidP="00FF23F6">
      <w:pPr>
        <w:pStyle w:val="List1Bullet"/>
      </w:pPr>
      <w:r w:rsidRPr="00A713D7">
        <w:t>When mixing an acid solution, always add the acid to the water.</w:t>
      </w:r>
    </w:p>
    <w:p w:rsidR="00FF23F6" w:rsidRPr="00A713D7" w:rsidRDefault="00FF23F6" w:rsidP="00C767ED">
      <w:pPr>
        <w:pStyle w:val="StepNumber10"/>
        <w:numPr>
          <w:ilvl w:val="0"/>
          <w:numId w:val="0"/>
        </w:numPr>
        <w:ind w:left="360" w:hanging="360"/>
      </w:pPr>
    </w:p>
    <w:p w:rsidR="00C767ED" w:rsidRPr="00A713D7" w:rsidRDefault="00C767ED" w:rsidP="00C767ED">
      <w:pPr>
        <w:pStyle w:val="StepNumber10"/>
        <w:numPr>
          <w:ilvl w:val="0"/>
          <w:numId w:val="0"/>
        </w:numPr>
        <w:ind w:left="360" w:hanging="360"/>
      </w:pPr>
    </w:p>
    <w:p w:rsidR="00C767ED" w:rsidRPr="00A713D7" w:rsidRDefault="00C767ED" w:rsidP="00C767ED">
      <w:pPr>
        <w:pStyle w:val="StepNumber10"/>
        <w:numPr>
          <w:ilvl w:val="0"/>
          <w:numId w:val="0"/>
        </w:numPr>
        <w:ind w:left="360" w:hanging="360"/>
      </w:pPr>
    </w:p>
    <w:p w:rsidR="00774297" w:rsidRPr="00A713D7" w:rsidRDefault="00774297">
      <w:pPr>
        <w:spacing w:line="240" w:lineRule="auto"/>
        <w:rPr>
          <w:b/>
        </w:rPr>
      </w:pPr>
      <w:r w:rsidRPr="00A713D7">
        <w:rPr>
          <w:b/>
        </w:rPr>
        <w:br w:type="page"/>
      </w:r>
    </w:p>
    <w:p w:rsidR="00FF23F6" w:rsidRPr="00A713D7" w:rsidRDefault="00FF23F6" w:rsidP="00F806A5">
      <w:pPr>
        <w:rPr>
          <w:b/>
        </w:rPr>
      </w:pPr>
      <w:r w:rsidRPr="00A713D7">
        <w:rPr>
          <w:b/>
        </w:rPr>
        <w:lastRenderedPageBreak/>
        <w:t>HANDLING VOLATILE SOLVENTS</w:t>
      </w:r>
    </w:p>
    <w:p w:rsidR="00FF600E" w:rsidRPr="00A713D7" w:rsidRDefault="00FF600E" w:rsidP="00FF600E">
      <w:pPr>
        <w:pStyle w:val="List1Bullet"/>
      </w:pPr>
      <w:r w:rsidRPr="00A713D7">
        <w:t>With volatile so</w:t>
      </w:r>
      <w:r w:rsidR="00CD6B8C" w:rsidRPr="00A713D7">
        <w:t>lvents such as methanol</w:t>
      </w:r>
      <w:r w:rsidRPr="00A713D7">
        <w:t xml:space="preserve">, or acetone, the vapors should not be inhaled.  These solvents should be used in a fume hood whenever possible.   </w:t>
      </w:r>
    </w:p>
    <w:p w:rsidR="00FF600E" w:rsidRPr="00A713D7" w:rsidRDefault="00FF600E" w:rsidP="00FF600E">
      <w:pPr>
        <w:pStyle w:val="List1Bullet"/>
      </w:pPr>
      <w:r w:rsidRPr="00A713D7">
        <w:t>Most of these solvents are usually extremely flammable and those flames may not be visible.</w:t>
      </w:r>
    </w:p>
    <w:p w:rsidR="00FF600E" w:rsidRPr="00A713D7" w:rsidRDefault="00FF600E" w:rsidP="00FF600E">
      <w:pPr>
        <w:pStyle w:val="List1Bullet"/>
      </w:pPr>
      <w:r w:rsidRPr="00A713D7">
        <w:t xml:space="preserve">These solvents should </w:t>
      </w:r>
      <w:r w:rsidR="00D12C9D" w:rsidRPr="00A713D7">
        <w:t>not be</w:t>
      </w:r>
      <w:r w:rsidRPr="00A713D7">
        <w:t xml:space="preserve"> used in </w:t>
      </w:r>
      <w:r w:rsidR="00D12C9D" w:rsidRPr="00A713D7">
        <w:t xml:space="preserve">the same </w:t>
      </w:r>
      <w:r w:rsidRPr="00A713D7">
        <w:t xml:space="preserve">fume hood </w:t>
      </w:r>
      <w:r w:rsidR="00D12C9D" w:rsidRPr="00A713D7">
        <w:t>as or come into contact with any acids</w:t>
      </w:r>
      <w:r w:rsidRPr="00A713D7">
        <w:t xml:space="preserve">.  </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USE OF OVENS</w:t>
      </w:r>
    </w:p>
    <w:p w:rsidR="00FF600E" w:rsidRPr="00A713D7" w:rsidRDefault="00FF600E" w:rsidP="00FF600E">
      <w:r w:rsidRPr="00A713D7">
        <w:t>When inserting into or removing anything from an oven that is warmer than 60°C (140°F), use a set of gloves or mitts and the appropriate utensils that allow the operator to perform the operation without risk of burns.</w:t>
      </w:r>
    </w:p>
    <w:p w:rsidR="00FF600E" w:rsidRPr="00A713D7" w:rsidRDefault="00FF600E" w:rsidP="006A5C35">
      <w:pPr>
        <w:pStyle w:val="StepNumber10"/>
        <w:numPr>
          <w:ilvl w:val="0"/>
          <w:numId w:val="0"/>
        </w:numPr>
        <w:ind w:left="1080"/>
      </w:pPr>
    </w:p>
    <w:p w:rsidR="00FF23F6" w:rsidRPr="00A713D7" w:rsidRDefault="00FF23F6" w:rsidP="00FF23F6">
      <w:pPr>
        <w:pStyle w:val="RouterStep"/>
      </w:pPr>
      <w:bookmarkStart w:id="6" w:name="_Toc65158518"/>
      <w:r w:rsidRPr="00A713D7">
        <w:t>APPROXIMATE LOT SIZES</w:t>
      </w:r>
      <w:bookmarkEnd w:id="6"/>
    </w:p>
    <w:p w:rsidR="00FF600E" w:rsidRPr="00A713D7" w:rsidRDefault="00FF600E" w:rsidP="00FF600E">
      <w:r w:rsidRPr="00A713D7">
        <w:t>This plating process will deposit a thin layer of gold and nickel over the entire surface of the pieces being plated.  In order to maintain consistency, use the following lot sizes as a guideline for each plating run:</w:t>
      </w:r>
    </w:p>
    <w:tbl>
      <w:tblPr>
        <w:tblW w:w="0" w:type="auto"/>
        <w:tblInd w:w="2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01"/>
        <w:gridCol w:w="1620"/>
      </w:tblGrid>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b/>
                <w:sz w:val="20"/>
              </w:rPr>
            </w:pPr>
            <w:r w:rsidRPr="00A713D7">
              <w:rPr>
                <w:rFonts w:ascii="Arial" w:hAnsi="Arial" w:cs="Arial"/>
                <w:b/>
                <w:sz w:val="20"/>
              </w:rPr>
              <w:t>Part Number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b/>
                <w:sz w:val="20"/>
              </w:rPr>
            </w:pPr>
            <w:r w:rsidRPr="00A713D7">
              <w:rPr>
                <w:rFonts w:ascii="Arial" w:hAnsi="Arial" w:cs="Arial"/>
                <w:b/>
                <w:sz w:val="20"/>
              </w:rPr>
              <w:t>Lot Size</w:t>
            </w:r>
          </w:p>
        </w:tc>
      </w:tr>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5342-01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250</w:t>
            </w:r>
          </w:p>
        </w:tc>
      </w:tr>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22446-02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125</w:t>
            </w:r>
          </w:p>
        </w:tc>
      </w:tr>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22446-01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60</w:t>
            </w:r>
          </w:p>
        </w:tc>
      </w:tr>
      <w:tr w:rsidR="00FF600E"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7056-01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25</w:t>
            </w:r>
          </w:p>
        </w:tc>
      </w:tr>
    </w:tbl>
    <w:p w:rsidR="00FF600E" w:rsidRPr="00A713D7" w:rsidRDefault="00FF600E" w:rsidP="006A5C35">
      <w:pPr>
        <w:pStyle w:val="StepNumber10"/>
        <w:numPr>
          <w:ilvl w:val="0"/>
          <w:numId w:val="0"/>
        </w:numPr>
        <w:ind w:left="1080"/>
      </w:pPr>
    </w:p>
    <w:p w:rsidR="00FF23F6" w:rsidRPr="00A713D7" w:rsidRDefault="00FF23F6" w:rsidP="00FF23F6">
      <w:pPr>
        <w:pStyle w:val="RouterStep"/>
      </w:pPr>
      <w:bookmarkStart w:id="7" w:name="_Toc65158519"/>
      <w:r w:rsidRPr="00A713D7">
        <w:t>PREPARATION OF SOLUTIONS</w:t>
      </w:r>
      <w:bookmarkEnd w:id="7"/>
    </w:p>
    <w:p w:rsidR="00FF600E" w:rsidRPr="00A713D7" w:rsidRDefault="00FF600E" w:rsidP="00E600F7">
      <w:pPr>
        <w:rPr>
          <w:i/>
        </w:rPr>
      </w:pPr>
      <w:r w:rsidRPr="00A713D7">
        <w:rPr>
          <w:i/>
          <w:u w:val="single"/>
        </w:rPr>
        <w:t>NOTE:</w:t>
      </w:r>
      <w:r w:rsidRPr="00A713D7">
        <w:rPr>
          <w:i/>
        </w:rPr>
        <w:t xml:space="preserve">  It is acceptable to make different quantities of solution as required, as long as the concentration of the solution is the same as below.</w:t>
      </w:r>
    </w:p>
    <w:p w:rsidR="00FF600E" w:rsidRPr="00A713D7" w:rsidRDefault="00FF600E" w:rsidP="006A5C35">
      <w:pPr>
        <w:pStyle w:val="StepNumber10"/>
        <w:numPr>
          <w:ilvl w:val="0"/>
          <w:numId w:val="0"/>
        </w:numPr>
      </w:pPr>
    </w:p>
    <w:p w:rsidR="00FF23F6" w:rsidRPr="00A713D7" w:rsidRDefault="00FF23F6" w:rsidP="00F806A5">
      <w:pPr>
        <w:rPr>
          <w:b/>
        </w:rPr>
      </w:pPr>
      <w:r w:rsidRPr="00A713D7">
        <w:rPr>
          <w:b/>
        </w:rPr>
        <w:t>SENSITIZING SOLUTION</w:t>
      </w:r>
    </w:p>
    <w:p w:rsidR="00FF600E" w:rsidRPr="00A713D7" w:rsidRDefault="00FF600E" w:rsidP="006A5C35">
      <w:pPr>
        <w:pStyle w:val="StepNumber10"/>
      </w:pPr>
      <w:r w:rsidRPr="00A713D7">
        <w:t>Using the 500mL graduated cylinder, measure 500mL of DI water and pour it into a 1000mL flask labeled “Sensitizing Solution.”</w:t>
      </w:r>
    </w:p>
    <w:p w:rsidR="00FF600E" w:rsidRPr="00A713D7" w:rsidRDefault="00FF600E" w:rsidP="006A5C35">
      <w:pPr>
        <w:pStyle w:val="StepNumber10"/>
      </w:pPr>
      <w:r w:rsidRPr="00A713D7">
        <w:t>Using the 100mL graduated cylinder, measure 9mL of Tin Tetrafluoroborate and add it to the 1000mL flask.</w:t>
      </w:r>
    </w:p>
    <w:p w:rsidR="00FF600E" w:rsidRPr="00A713D7" w:rsidRDefault="00FF600E" w:rsidP="006A5C35">
      <w:pPr>
        <w:pStyle w:val="StepNumber10"/>
      </w:pPr>
      <w:r w:rsidRPr="00A713D7">
        <w:t>Stopper the top of the flas</w:t>
      </w:r>
      <w:r w:rsidR="00E7750A" w:rsidRPr="00A713D7">
        <w:t>k.</w:t>
      </w:r>
    </w:p>
    <w:p w:rsidR="00FF600E" w:rsidRPr="00A713D7" w:rsidRDefault="00FF600E" w:rsidP="006A5C35">
      <w:pPr>
        <w:pStyle w:val="StepNumber10"/>
        <w:numPr>
          <w:ilvl w:val="0"/>
          <w:numId w:val="0"/>
        </w:numPr>
      </w:pPr>
    </w:p>
    <w:p w:rsidR="00FF23F6" w:rsidRPr="00A713D7" w:rsidRDefault="00FF23F6" w:rsidP="00F806A5">
      <w:pPr>
        <w:rPr>
          <w:b/>
        </w:rPr>
      </w:pPr>
      <w:r w:rsidRPr="00A713D7">
        <w:rPr>
          <w:b/>
        </w:rPr>
        <w:t>SEEDING SOLUTION</w:t>
      </w:r>
    </w:p>
    <w:p w:rsidR="00FF600E" w:rsidRPr="00A713D7" w:rsidRDefault="00FF600E" w:rsidP="006A5C35">
      <w:pPr>
        <w:pStyle w:val="StepNumber10"/>
        <w:numPr>
          <w:ilvl w:val="0"/>
          <w:numId w:val="6"/>
        </w:numPr>
        <w:ind w:left="360"/>
      </w:pPr>
      <w:r w:rsidRPr="00A713D7">
        <w:t xml:space="preserve">Using the </w:t>
      </w:r>
      <w:r w:rsidR="00E7750A" w:rsidRPr="00A713D7">
        <w:t>50</w:t>
      </w:r>
      <w:r w:rsidRPr="00A713D7">
        <w:t>0mL graduated cylinder, measure 500mL of Dl water and pour it into the 1000ml flask marked “Seeding Solution.”</w:t>
      </w:r>
    </w:p>
    <w:p w:rsidR="00FF600E" w:rsidRPr="00A713D7" w:rsidRDefault="00FF600E" w:rsidP="006A5C35">
      <w:pPr>
        <w:pStyle w:val="StepNumber10"/>
      </w:pPr>
      <w:r w:rsidRPr="00A713D7">
        <w:t>Using the 10mL graduated cylinder, measure 5mL of Hydrochloric Acid and add it to the 1000ml flask.</w:t>
      </w:r>
    </w:p>
    <w:p w:rsidR="00FF600E" w:rsidRPr="00A713D7" w:rsidRDefault="00FF600E" w:rsidP="006A5C35">
      <w:pPr>
        <w:pStyle w:val="StepNumber10"/>
      </w:pPr>
      <w:r w:rsidRPr="00A713D7">
        <w:t>Using the balance, weigh out 0.16g of Palladium Chloride and add it to the 1000mL flask.</w:t>
      </w:r>
    </w:p>
    <w:p w:rsidR="00FF600E" w:rsidRPr="00A713D7" w:rsidRDefault="00FF600E" w:rsidP="006A5C35">
      <w:pPr>
        <w:pStyle w:val="StepNumber10"/>
      </w:pPr>
      <w:r w:rsidRPr="00A713D7">
        <w:lastRenderedPageBreak/>
        <w:t>Put the flask on the stir plate and stir until the Palladium Chloride is dissolved (30 min to 1 hr.).</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NICKEL PLATING SOLUTION A</w:t>
      </w:r>
    </w:p>
    <w:p w:rsidR="00FF600E" w:rsidRPr="00A713D7" w:rsidRDefault="00FF600E" w:rsidP="006A5C35">
      <w:pPr>
        <w:pStyle w:val="StepNumber10"/>
        <w:numPr>
          <w:ilvl w:val="0"/>
          <w:numId w:val="7"/>
        </w:numPr>
        <w:ind w:left="360"/>
      </w:pPr>
      <w:r w:rsidRPr="00A713D7">
        <w:t>Using the 500mL graduated cylinder, measure 750ml of Dl water and pour it into the 1000mL beaker labeled “Nickel A”.</w:t>
      </w:r>
    </w:p>
    <w:p w:rsidR="00FF600E" w:rsidRPr="00A713D7" w:rsidRDefault="00FF600E" w:rsidP="006A5C35">
      <w:pPr>
        <w:pStyle w:val="StepNumber10"/>
      </w:pPr>
      <w:r w:rsidRPr="00A713D7">
        <w:t>Using the balance, weigh out 52.8g of Nickel Sulphate and add it to the beaker.</w:t>
      </w:r>
    </w:p>
    <w:p w:rsidR="00FF600E" w:rsidRPr="00A713D7" w:rsidRDefault="00FF600E" w:rsidP="006A5C35">
      <w:pPr>
        <w:pStyle w:val="StepNumber10"/>
      </w:pPr>
      <w:r w:rsidRPr="00A713D7">
        <w:t>Put the beaker on the stir plate and stir until the Nickel Sulphate is dissolved (30 min to 1 hr.).</w:t>
      </w:r>
    </w:p>
    <w:p w:rsidR="00FF600E" w:rsidRPr="00A713D7" w:rsidRDefault="00FF600E" w:rsidP="006A5C35">
      <w:pPr>
        <w:pStyle w:val="StepNumber10"/>
      </w:pPr>
      <w:r w:rsidRPr="00A713D7">
        <w:t>Pour the entire contents of the beaker into the one gallon bottle labeled “Nickel A.”</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NICKEL PLATING SOLUTION B</w:t>
      </w:r>
    </w:p>
    <w:p w:rsidR="00FF600E" w:rsidRPr="00A713D7" w:rsidRDefault="00FF600E" w:rsidP="006A5C35">
      <w:pPr>
        <w:pStyle w:val="StepNumber10"/>
        <w:numPr>
          <w:ilvl w:val="0"/>
          <w:numId w:val="8"/>
        </w:numPr>
        <w:ind w:left="360"/>
      </w:pPr>
      <w:r w:rsidRPr="00A713D7">
        <w:t>Using the 500mL graduated cylinder, measure 750ml of Dl water and pour it into the 1000mL beaker labeled “Nickel B”.</w:t>
      </w:r>
    </w:p>
    <w:p w:rsidR="00FF600E" w:rsidRPr="00A713D7" w:rsidRDefault="00FF600E" w:rsidP="006A5C35">
      <w:pPr>
        <w:pStyle w:val="StepNumber10"/>
      </w:pPr>
      <w:r w:rsidRPr="00A713D7">
        <w:t>Using the balance, weigh out 15.0g of Sodium Citrate and add it to the 1000mL beaker.</w:t>
      </w:r>
    </w:p>
    <w:p w:rsidR="00FF600E" w:rsidRPr="00A713D7" w:rsidRDefault="00FF600E" w:rsidP="006A5C35">
      <w:pPr>
        <w:pStyle w:val="StepNumber10"/>
      </w:pPr>
      <w:r w:rsidRPr="00A713D7">
        <w:t>Using the balance, weigh out 15.0g of Sodium Acetate and add it to the 1000mL beaker.</w:t>
      </w:r>
    </w:p>
    <w:p w:rsidR="00FF600E" w:rsidRPr="00A713D7" w:rsidRDefault="00FF600E" w:rsidP="006A5C35">
      <w:pPr>
        <w:pStyle w:val="StepNumber10"/>
      </w:pPr>
      <w:r w:rsidRPr="00A713D7">
        <w:t>Using the balance, weigh out 22.3g of Sodium Hypophosphite and add it to the 1000mL beaker.</w:t>
      </w:r>
    </w:p>
    <w:p w:rsidR="00FF600E" w:rsidRPr="00A713D7" w:rsidRDefault="00FF600E" w:rsidP="006A5C35">
      <w:pPr>
        <w:pStyle w:val="StepNumber10"/>
      </w:pPr>
      <w:r w:rsidRPr="00A713D7">
        <w:t>Using the balance, weigh out 30.0g of Magnesium Sulphate and add it to the 1000mL beaker.</w:t>
      </w:r>
    </w:p>
    <w:p w:rsidR="00FF600E" w:rsidRPr="00A713D7" w:rsidRDefault="00FF600E" w:rsidP="006A5C35">
      <w:pPr>
        <w:pStyle w:val="StepNumber10"/>
      </w:pPr>
      <w:r w:rsidRPr="00A713D7">
        <w:t>Stir the beaker with a policeman until all of the solids are dissolved.</w:t>
      </w:r>
    </w:p>
    <w:p w:rsidR="00FF600E" w:rsidRPr="00A713D7" w:rsidRDefault="00FF600E" w:rsidP="006A5C35">
      <w:pPr>
        <w:pStyle w:val="StepNumber10"/>
      </w:pPr>
      <w:r w:rsidRPr="00A713D7">
        <w:t>Pour the entire contents of the beaker into the one-gallon bottle marked “Nickel B.”</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PREPARING THE NICKEL BATH</w:t>
      </w:r>
    </w:p>
    <w:p w:rsidR="00FF600E" w:rsidRPr="00A713D7" w:rsidRDefault="00FF600E" w:rsidP="006A5C35">
      <w:pPr>
        <w:pStyle w:val="StepNumber10"/>
        <w:numPr>
          <w:ilvl w:val="0"/>
          <w:numId w:val="9"/>
        </w:numPr>
        <w:ind w:left="360"/>
      </w:pPr>
      <w:r w:rsidRPr="00A713D7">
        <w:t>Check that the Nickel plating water bath, 190mm x 100mm crystallizing dish with alumina grinding media covering the bottom, is ¾ full with DI water.</w:t>
      </w:r>
    </w:p>
    <w:p w:rsidR="00FF600E" w:rsidRPr="00A713D7" w:rsidRDefault="00FF600E" w:rsidP="006A5C35">
      <w:pPr>
        <w:pStyle w:val="StepNumber10"/>
      </w:pPr>
      <w:r w:rsidRPr="00A713D7">
        <w:t>Place the dish onto a hot plate and set the heat dial to 185°C.</w:t>
      </w:r>
    </w:p>
    <w:p w:rsidR="00FF600E" w:rsidRPr="00A713D7" w:rsidRDefault="00FF600E" w:rsidP="006A5C35">
      <w:pPr>
        <w:pStyle w:val="StepNumber10"/>
      </w:pPr>
      <w:r w:rsidRPr="00A713D7">
        <w:t>Measure out 200ml of Nickel plating solution part A and 200ml of Nickel plating solution part B and add them to the 150mm x 75mm dish marked “Nickel Plating Solution.”</w:t>
      </w:r>
    </w:p>
    <w:p w:rsidR="00FF600E" w:rsidRPr="00A713D7" w:rsidRDefault="00FF600E" w:rsidP="006A5C35">
      <w:pPr>
        <w:pStyle w:val="StepNumber10"/>
      </w:pPr>
      <w:r w:rsidRPr="00A713D7">
        <w:t>Place the dish of nickel-plating solution into the water bath to form a “double boiler”.</w:t>
      </w:r>
    </w:p>
    <w:p w:rsidR="00FF600E" w:rsidRPr="00A713D7" w:rsidRDefault="00FF600E" w:rsidP="006A5C35">
      <w:pPr>
        <w:pStyle w:val="StepNumber10"/>
      </w:pPr>
      <w:r w:rsidRPr="00A713D7">
        <w:t>Measure the temperature of the mixture using the digital thermometer; it should be 75–80°C.</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PREPARING THE GOLD BATH</w:t>
      </w:r>
    </w:p>
    <w:p w:rsidR="00FF600E" w:rsidRPr="00A713D7" w:rsidRDefault="00FF600E" w:rsidP="006A5C35">
      <w:pPr>
        <w:pStyle w:val="StepNumber10"/>
        <w:numPr>
          <w:ilvl w:val="0"/>
          <w:numId w:val="10"/>
        </w:numPr>
        <w:ind w:left="360"/>
      </w:pPr>
      <w:r w:rsidRPr="00A713D7">
        <w:t>Check that the Gold plating water bath, 190mm x 100mm crystallizing dish with alumina grinding media covering the bottom, is ¾ full with DI water.</w:t>
      </w:r>
    </w:p>
    <w:p w:rsidR="00FF600E" w:rsidRPr="00A713D7" w:rsidRDefault="00FF600E" w:rsidP="006A5C35">
      <w:pPr>
        <w:pStyle w:val="StepNumber10"/>
      </w:pPr>
      <w:r w:rsidRPr="00A713D7">
        <w:t>Place the dish onto a hot plate and set the heat to 175°C.</w:t>
      </w:r>
    </w:p>
    <w:p w:rsidR="00FF600E" w:rsidRPr="00A713D7" w:rsidRDefault="00FF600E" w:rsidP="006A5C35">
      <w:pPr>
        <w:pStyle w:val="StepNumber10"/>
      </w:pPr>
      <w:r w:rsidRPr="00A713D7">
        <w:t>Pour enough of the Transene solution into the 150mm x 75mm dish labeled “E-Gold” to cover the parts.</w:t>
      </w:r>
    </w:p>
    <w:p w:rsidR="00FF600E" w:rsidRPr="00A713D7" w:rsidRDefault="00FF600E" w:rsidP="006A5C35">
      <w:pPr>
        <w:pStyle w:val="StepNumber10"/>
      </w:pPr>
      <w:r w:rsidRPr="00A713D7">
        <w:t xml:space="preserve">Place the 150mm dish containing gold solution into the water-filled crystallizing dish to form a “double boiler”. </w:t>
      </w:r>
    </w:p>
    <w:p w:rsidR="00FF600E" w:rsidRPr="00A713D7" w:rsidRDefault="00FF600E" w:rsidP="006A5C35">
      <w:pPr>
        <w:pStyle w:val="StepNumber10"/>
      </w:pPr>
      <w:r w:rsidRPr="00A713D7">
        <w:t>Measure the temperature of the mixture using the digital thermometer; it should be 75–80ºC.</w:t>
      </w:r>
    </w:p>
    <w:p w:rsidR="00FF23F6" w:rsidRPr="00A713D7" w:rsidRDefault="00FF23F6" w:rsidP="00FF23F6">
      <w:pPr>
        <w:pStyle w:val="RouterStep"/>
      </w:pPr>
      <w:bookmarkStart w:id="8" w:name="_Toc65158520"/>
      <w:r w:rsidRPr="00A713D7">
        <w:lastRenderedPageBreak/>
        <w:t>PLATING PROCEDURE</w:t>
      </w:r>
      <w:bookmarkEnd w:id="8"/>
    </w:p>
    <w:p w:rsidR="009D7BCA" w:rsidRPr="00A713D7" w:rsidRDefault="009D7BCA" w:rsidP="00E600F7">
      <w:pPr>
        <w:rPr>
          <w:i/>
        </w:rPr>
      </w:pPr>
      <w:r w:rsidRPr="00A713D7">
        <w:rPr>
          <w:i/>
          <w:u w:val="single"/>
        </w:rPr>
        <w:t>NOTE:</w:t>
      </w:r>
      <w:r w:rsidRPr="00A713D7">
        <w:rPr>
          <w:i/>
        </w:rPr>
        <w:t xml:space="preserve">  Thoroughly drain parts when transferring from one solution to another, or from rinsing into solutions, to avoid transferring or diluting any solution.</w:t>
      </w:r>
    </w:p>
    <w:p w:rsidR="009D7BCA" w:rsidRPr="00A713D7" w:rsidRDefault="009D7BCA" w:rsidP="00E600F7">
      <w:pPr>
        <w:rPr>
          <w:i/>
        </w:rPr>
      </w:pPr>
      <w:r w:rsidRPr="00A713D7">
        <w:rPr>
          <w:i/>
          <w:u w:val="single"/>
        </w:rPr>
        <w:t>NOTE:</w:t>
      </w:r>
      <w:r w:rsidRPr="00A713D7">
        <w:rPr>
          <w:i/>
        </w:rPr>
        <w:t xml:space="preserve"> Do not dry in an oven unless instructed to do so.</w:t>
      </w:r>
    </w:p>
    <w:p w:rsidR="00F806A5" w:rsidRPr="00A713D7" w:rsidRDefault="00F806A5" w:rsidP="009D7BCA"/>
    <w:p w:rsidR="00FF23F6" w:rsidRPr="00A713D7" w:rsidRDefault="00FF23F6" w:rsidP="00FF23F6">
      <w:pPr>
        <w:pStyle w:val="RouterStep"/>
      </w:pPr>
      <w:bookmarkStart w:id="9" w:name="_Toc65158521"/>
      <w:r w:rsidRPr="00A713D7">
        <w:t>CLEANING PARTS RECEIVED FROM MACHINING</w:t>
      </w:r>
      <w:bookmarkEnd w:id="9"/>
    </w:p>
    <w:p w:rsidR="009D7BCA" w:rsidRPr="00A713D7" w:rsidRDefault="009D7BCA" w:rsidP="00E600F7">
      <w:pPr>
        <w:rPr>
          <w:i/>
        </w:rPr>
      </w:pPr>
      <w:r w:rsidRPr="00A713D7">
        <w:rPr>
          <w:i/>
          <w:u w:val="single"/>
        </w:rPr>
        <w:t>NOTE:</w:t>
      </w:r>
      <w:r w:rsidRPr="00A713D7">
        <w:rPr>
          <w:i/>
        </w:rPr>
        <w:t xml:space="preserve"> Due to the many variables involved in cleaning the machined parts, it may be necessary to deviate from the times specified in the following section or repeat portions of it.  The times and sequence stated below should be used as a guideline for the cleaning process.  If problems cleaning parts persist, contact your Supervisor, Engineer, or Lead Technician.</w:t>
      </w:r>
    </w:p>
    <w:p w:rsidR="006A5C35" w:rsidRPr="00A713D7" w:rsidRDefault="006A5C35" w:rsidP="009D7BCA"/>
    <w:p w:rsidR="009D7BCA" w:rsidRPr="00A713D7" w:rsidRDefault="009D7BCA" w:rsidP="006A5C35">
      <w:pPr>
        <w:pStyle w:val="StepNumber10"/>
        <w:numPr>
          <w:ilvl w:val="0"/>
          <w:numId w:val="25"/>
        </w:numPr>
        <w:ind w:left="360"/>
      </w:pPr>
      <w:r w:rsidRPr="00A713D7">
        <w:t>Clean the parts for 30 minutes</w:t>
      </w:r>
      <w:r w:rsidR="00E7750A" w:rsidRPr="00A713D7">
        <w:t xml:space="preserve"> in Acetone, using ultrasonics.  I</w:t>
      </w:r>
      <w:r w:rsidRPr="00A713D7">
        <w:t xml:space="preserve">t is acceptable to use the acetone that the parts came in. </w:t>
      </w:r>
    </w:p>
    <w:p w:rsidR="009D7BCA" w:rsidRPr="00A713D7" w:rsidRDefault="009D7BCA" w:rsidP="006A5C35">
      <w:pPr>
        <w:pStyle w:val="StepNumber10"/>
      </w:pPr>
      <w:r w:rsidRPr="00A713D7">
        <w:t>Pour off the used Acetone in the appropriate waste container.</w:t>
      </w:r>
    </w:p>
    <w:p w:rsidR="009D7BCA" w:rsidRPr="00A713D7" w:rsidRDefault="009D7BCA" w:rsidP="006A5C35">
      <w:pPr>
        <w:pStyle w:val="StepNumber10"/>
      </w:pPr>
      <w:bookmarkStart w:id="10" w:name="_Ref62476573"/>
      <w:r w:rsidRPr="00A713D7">
        <w:t>Replenish the dish with fresh Acetone and clean for another 30 minutes, using ultrasonics.</w:t>
      </w:r>
      <w:bookmarkEnd w:id="10"/>
    </w:p>
    <w:p w:rsidR="009D7BCA" w:rsidRPr="00A713D7" w:rsidRDefault="009D7BCA" w:rsidP="006A5C35">
      <w:pPr>
        <w:pStyle w:val="StepNumber10"/>
      </w:pPr>
      <w:bookmarkStart w:id="11" w:name="_Ref62476598"/>
      <w:r w:rsidRPr="00A713D7">
        <w:t>Pour off the used Acetone in the appropriate waste container.</w:t>
      </w:r>
      <w:bookmarkEnd w:id="11"/>
    </w:p>
    <w:p w:rsidR="009D7BCA" w:rsidRPr="00A713D7" w:rsidRDefault="009D7BCA" w:rsidP="006A5C35">
      <w:pPr>
        <w:pStyle w:val="StepNumber10"/>
      </w:pPr>
      <w:r w:rsidRPr="00A713D7">
        <w:t xml:space="preserve">Repeat steps </w:t>
      </w:r>
      <w:r w:rsidR="00E342BB" w:rsidRPr="00A713D7">
        <w:fldChar w:fldCharType="begin"/>
      </w:r>
      <w:r w:rsidR="00E342BB" w:rsidRPr="00A713D7">
        <w:instrText xml:space="preserve"> REF _Ref62476573 \r \h </w:instrText>
      </w:r>
      <w:r w:rsidR="00E342BB" w:rsidRPr="00A713D7">
        <w:fldChar w:fldCharType="separate"/>
      </w:r>
      <w:r w:rsidR="00A713D7">
        <w:t>3</w:t>
      </w:r>
      <w:r w:rsidR="00E342BB" w:rsidRPr="00A713D7">
        <w:fldChar w:fldCharType="end"/>
      </w:r>
      <w:r w:rsidR="00E342BB" w:rsidRPr="00A713D7">
        <w:t xml:space="preserve"> and </w:t>
      </w:r>
      <w:r w:rsidR="00E342BB" w:rsidRPr="00A713D7">
        <w:fldChar w:fldCharType="begin"/>
      </w:r>
      <w:r w:rsidR="00E342BB" w:rsidRPr="00A713D7">
        <w:instrText xml:space="preserve"> REF _Ref62476598 \r \h </w:instrText>
      </w:r>
      <w:r w:rsidR="00E342BB" w:rsidRPr="00A713D7">
        <w:fldChar w:fldCharType="separate"/>
      </w:r>
      <w:r w:rsidR="00A713D7">
        <w:t>4</w:t>
      </w:r>
      <w:r w:rsidR="00E342BB" w:rsidRPr="00A713D7">
        <w:fldChar w:fldCharType="end"/>
      </w:r>
      <w:r w:rsidR="00E342BB" w:rsidRPr="00A713D7">
        <w:t xml:space="preserve"> </w:t>
      </w:r>
      <w:r w:rsidRPr="00A713D7">
        <w:t xml:space="preserve">until the acetone is clear after washing. </w:t>
      </w:r>
    </w:p>
    <w:p w:rsidR="009D7BCA" w:rsidRPr="00A713D7" w:rsidRDefault="009D7BCA" w:rsidP="006A5C35">
      <w:pPr>
        <w:pStyle w:val="StepNumber10"/>
      </w:pPr>
      <w:r w:rsidRPr="00A713D7">
        <w:t>Clean the parts for 30 minutes in Micro 90 Cleaning Solution, using ultrasonics.</w:t>
      </w:r>
    </w:p>
    <w:p w:rsidR="009D7BCA" w:rsidRPr="00A713D7" w:rsidRDefault="009D7BCA" w:rsidP="006A5C35">
      <w:pPr>
        <w:pStyle w:val="StepNumber10"/>
      </w:pPr>
      <w:r w:rsidRPr="00A713D7">
        <w:t>Discard the cleaning solution in the appropriate waste container.</w:t>
      </w:r>
    </w:p>
    <w:p w:rsidR="009D7BCA" w:rsidRPr="00A713D7" w:rsidRDefault="009D7BCA" w:rsidP="009D7BCA">
      <w:pPr>
        <w:rPr>
          <w:b/>
          <w:i/>
        </w:rPr>
      </w:pPr>
      <w:r w:rsidRPr="00A713D7">
        <w:rPr>
          <w:b/>
          <w:i/>
          <w:u w:val="single"/>
        </w:rPr>
        <w:t>NOTE:</w:t>
      </w:r>
      <w:r w:rsidRPr="00A713D7">
        <w:rPr>
          <w:b/>
          <w:i/>
        </w:rPr>
        <w:t xml:space="preserve"> DO NOT POUR MICRO 90 CLEANING SOLUTION INTO THE DI WATER SYSTEM.</w:t>
      </w:r>
    </w:p>
    <w:p w:rsidR="009D7BCA" w:rsidRPr="00A713D7" w:rsidRDefault="009D7BCA" w:rsidP="006A5C35">
      <w:pPr>
        <w:pStyle w:val="StepNumber10"/>
      </w:pPr>
      <w:r w:rsidRPr="00A713D7">
        <w:t>Fill the dish with DI water and clean for 30 minutes, using ultrasonics.</w:t>
      </w:r>
    </w:p>
    <w:p w:rsidR="00FF18AD" w:rsidRPr="00A713D7" w:rsidRDefault="009D7BCA" w:rsidP="00FF18AD">
      <w:pPr>
        <w:pStyle w:val="StepNumber10"/>
      </w:pPr>
      <w:r w:rsidRPr="00A713D7">
        <w:t>Discard the rinse water into the DI sink drain.</w:t>
      </w:r>
    </w:p>
    <w:p w:rsidR="00FF18AD" w:rsidRPr="00A713D7" w:rsidRDefault="00FF18AD" w:rsidP="00FF18AD">
      <w:pPr>
        <w:rPr>
          <w:b/>
          <w:i/>
        </w:rPr>
      </w:pPr>
      <w:r w:rsidRPr="00A713D7">
        <w:rPr>
          <w:b/>
          <w:i/>
          <w:u w:val="single"/>
        </w:rPr>
        <w:t>NOTE:</w:t>
      </w:r>
      <w:r w:rsidRPr="00A713D7">
        <w:rPr>
          <w:b/>
          <w:i/>
        </w:rPr>
        <w:t xml:space="preserve"> DO NOT POUR MICRO 90 CLEANING SOLUTION INTO THE DI WATER SYSTEM.</w:t>
      </w:r>
    </w:p>
    <w:p w:rsidR="009D7BCA" w:rsidRPr="00A713D7" w:rsidRDefault="009D7BCA" w:rsidP="00FF18AD">
      <w:pPr>
        <w:pStyle w:val="StepNumber10"/>
      </w:pPr>
      <w:r w:rsidRPr="00A713D7">
        <w:t>If holding parts before plating continue to</w:t>
      </w:r>
      <w:r w:rsidR="00E7750A" w:rsidRPr="00A713D7">
        <w:t xml:space="preserve"> Step </w:t>
      </w:r>
      <w:r w:rsidR="00E7750A" w:rsidRPr="00A713D7">
        <w:fldChar w:fldCharType="begin"/>
      </w:r>
      <w:r w:rsidR="00E7750A" w:rsidRPr="00A713D7">
        <w:instrText xml:space="preserve"> REF _Ref62460335 \r \h </w:instrText>
      </w:r>
      <w:r w:rsidR="00E7750A" w:rsidRPr="00A713D7">
        <w:fldChar w:fldCharType="separate"/>
      </w:r>
      <w:r w:rsidR="00A713D7">
        <w:t>11</w:t>
      </w:r>
      <w:r w:rsidR="00E7750A" w:rsidRPr="00A713D7">
        <w:fldChar w:fldCharType="end"/>
      </w:r>
      <w:r w:rsidR="00E7750A" w:rsidRPr="00A713D7">
        <w:t xml:space="preserve"> below</w:t>
      </w:r>
      <w:r w:rsidRPr="00A713D7">
        <w:t>. Normally continue wit</w:t>
      </w:r>
      <w:r w:rsidR="00FF18AD" w:rsidRPr="00A713D7">
        <w:t xml:space="preserve">h </w:t>
      </w:r>
      <w:r w:rsidR="00FF18AD" w:rsidRPr="00A713D7">
        <w:rPr>
          <w:b/>
        </w:rPr>
        <w:t>Cleaning of Etched Grains</w:t>
      </w:r>
      <w:r w:rsidR="00E7750A" w:rsidRPr="00A713D7">
        <w:t xml:space="preserve"> </w:t>
      </w:r>
      <w:r w:rsidRPr="00A713D7">
        <w:t xml:space="preserve">to plate parts right away. </w:t>
      </w:r>
    </w:p>
    <w:p w:rsidR="009D7BCA" w:rsidRPr="00A713D7" w:rsidRDefault="009D7BCA" w:rsidP="006A5C35">
      <w:pPr>
        <w:pStyle w:val="StepNumber10"/>
      </w:pPr>
      <w:bookmarkStart w:id="12" w:name="_Ref62460335"/>
      <w:r w:rsidRPr="00A713D7">
        <w:t>Clean the parts for 30 minutes in Methanol, using ultrasonics.</w:t>
      </w:r>
      <w:bookmarkEnd w:id="12"/>
    </w:p>
    <w:p w:rsidR="009D7BCA" w:rsidRPr="00A713D7" w:rsidRDefault="009D7BCA" w:rsidP="006A5C35">
      <w:pPr>
        <w:pStyle w:val="StepNumber10"/>
      </w:pPr>
      <w:r w:rsidRPr="00A713D7">
        <w:t>Pour off the used methanol in the appropriate waste container.</w:t>
      </w:r>
    </w:p>
    <w:p w:rsidR="009D7BCA" w:rsidRPr="00A713D7" w:rsidRDefault="009D7BCA" w:rsidP="006A5C35">
      <w:pPr>
        <w:pStyle w:val="StepNumber10"/>
      </w:pPr>
      <w:r w:rsidRPr="00A713D7">
        <w:t>Place the dish in the Crystals drying oven until dry.</w:t>
      </w:r>
    </w:p>
    <w:p w:rsidR="00C21B48" w:rsidRPr="00A713D7" w:rsidRDefault="00C21B48" w:rsidP="00C21B48">
      <w:pPr>
        <w:pStyle w:val="StepNumber10"/>
        <w:numPr>
          <w:ilvl w:val="0"/>
          <w:numId w:val="0"/>
        </w:numPr>
        <w:ind w:left="360"/>
      </w:pPr>
    </w:p>
    <w:p w:rsidR="00FF23F6" w:rsidRPr="00A713D7" w:rsidRDefault="00FF23F6" w:rsidP="00FF23F6">
      <w:pPr>
        <w:pStyle w:val="RouterStep"/>
      </w:pPr>
      <w:bookmarkStart w:id="13" w:name="_Toc65158522"/>
      <w:bookmarkStart w:id="14" w:name="ChemicalEtch"/>
      <w:r w:rsidRPr="00A713D7">
        <w:t>C</w:t>
      </w:r>
      <w:r w:rsidR="00FF18AD" w:rsidRPr="00A713D7">
        <w:t>LEANING</w:t>
      </w:r>
      <w:r w:rsidR="00E7750A" w:rsidRPr="00A713D7">
        <w:t xml:space="preserve"> OF ETCHED GRAINS</w:t>
      </w:r>
      <w:bookmarkEnd w:id="13"/>
    </w:p>
    <w:bookmarkEnd w:id="14"/>
    <w:p w:rsidR="00176E43" w:rsidRPr="00A713D7" w:rsidRDefault="009D7BCA" w:rsidP="00E600F7">
      <w:pPr>
        <w:rPr>
          <w:i/>
        </w:rPr>
      </w:pPr>
      <w:r w:rsidRPr="00A713D7">
        <w:rPr>
          <w:i/>
          <w:u w:val="single"/>
        </w:rPr>
        <w:t>NOTE:</w:t>
      </w:r>
      <w:r w:rsidRPr="00A713D7">
        <w:rPr>
          <w:i/>
        </w:rPr>
        <w:t xml:space="preserve">  Chemical </w:t>
      </w:r>
      <w:r w:rsidR="00E7750A" w:rsidRPr="00A713D7">
        <w:rPr>
          <w:i/>
        </w:rPr>
        <w:t>cleaning/</w:t>
      </w:r>
      <w:r w:rsidRPr="00A713D7">
        <w:rPr>
          <w:i/>
        </w:rPr>
        <w:t>etching is done on the ceramic pieces to improve nickel adhesion.  Operators must wear gloves, goggles and shop/lab coats when handling these chemicals.  Avoid splashing the solution when handling.</w:t>
      </w:r>
    </w:p>
    <w:p w:rsidR="009D7BCA" w:rsidRPr="00A713D7" w:rsidRDefault="009D7BCA" w:rsidP="00176E43">
      <w:pPr>
        <w:pStyle w:val="StepNumber10"/>
        <w:numPr>
          <w:ilvl w:val="0"/>
          <w:numId w:val="26"/>
        </w:numPr>
        <w:ind w:left="360"/>
      </w:pPr>
      <w:r w:rsidRPr="00A713D7">
        <w:t>Carefully transfer the parts to the crystalizing dish labeled “50/50”.</w:t>
      </w:r>
    </w:p>
    <w:p w:rsidR="009D7BCA" w:rsidRPr="00A713D7" w:rsidRDefault="009D7BCA" w:rsidP="006A5C35">
      <w:pPr>
        <w:pStyle w:val="StepNumber10"/>
      </w:pPr>
      <w:r w:rsidRPr="00A713D7">
        <w:t>Add enough 50/50 Nitric Acid solution to the dish to cover the parts.</w:t>
      </w:r>
    </w:p>
    <w:p w:rsidR="009D7BCA" w:rsidRPr="00A713D7" w:rsidRDefault="009D7BCA" w:rsidP="006A5C35">
      <w:pPr>
        <w:pStyle w:val="StepNumber10"/>
      </w:pPr>
      <w:r w:rsidRPr="00A713D7">
        <w:lastRenderedPageBreak/>
        <w:t>Soak t</w:t>
      </w:r>
      <w:r w:rsidR="00FF18AD" w:rsidRPr="00A713D7">
        <w:t>he parts in the solution for 1 minute</w:t>
      </w:r>
      <w:r w:rsidRPr="00A713D7">
        <w:t>.</w:t>
      </w:r>
    </w:p>
    <w:p w:rsidR="009D7BCA" w:rsidRPr="00A713D7" w:rsidRDefault="009D7BCA" w:rsidP="006A5C35">
      <w:pPr>
        <w:pStyle w:val="StepNumber10"/>
      </w:pPr>
      <w:r w:rsidRPr="00A713D7">
        <w:t>Gently stir the solution as the parts soak.</w:t>
      </w:r>
    </w:p>
    <w:p w:rsidR="009D7BCA" w:rsidRPr="00A713D7" w:rsidRDefault="009D7BCA" w:rsidP="00E600F7">
      <w:pPr>
        <w:pStyle w:val="StepNumber10"/>
        <w:numPr>
          <w:ilvl w:val="0"/>
          <w:numId w:val="0"/>
        </w:numPr>
        <w:rPr>
          <w:i/>
        </w:rPr>
      </w:pPr>
      <w:r w:rsidRPr="00A713D7">
        <w:rPr>
          <w:i/>
          <w:u w:val="single"/>
        </w:rPr>
        <w:t>NOTE:</w:t>
      </w:r>
      <w:r w:rsidRPr="00A713D7">
        <w:rPr>
          <w:i/>
        </w:rPr>
        <w:t xml:space="preserve">  From this point on, use only clean tweezers and policemen to touch the parts to ensure proper plating.  Rinse the tweezers with DI water after each step.  Use a Separate rubber policemen for each step.</w:t>
      </w:r>
    </w:p>
    <w:p w:rsidR="009D7BCA" w:rsidRPr="00A713D7" w:rsidRDefault="009D7BCA" w:rsidP="006A5C35">
      <w:pPr>
        <w:pStyle w:val="StepNumber10"/>
      </w:pPr>
      <w:r w:rsidRPr="00A713D7">
        <w:t>Pour off the solution into a 1000mL plastic beaker for temporary storage during the process.</w:t>
      </w:r>
    </w:p>
    <w:p w:rsidR="00E73B73" w:rsidRPr="00A713D7" w:rsidRDefault="009D7BCA" w:rsidP="002C0D51">
      <w:pPr>
        <w:pStyle w:val="StepNumber10"/>
      </w:pPr>
      <w:r w:rsidRPr="00A713D7">
        <w:t xml:space="preserve">Fill the dish with DI water, agitate lightly to rinse, </w:t>
      </w:r>
      <w:r w:rsidRPr="002C0D51">
        <w:rPr>
          <w:color w:val="FF0000"/>
        </w:rPr>
        <w:t xml:space="preserve">and </w:t>
      </w:r>
      <w:r w:rsidR="002C0D51" w:rsidRPr="002C0D51">
        <w:rPr>
          <w:color w:val="FF0000"/>
        </w:rPr>
        <w:t>then clean in the ultrasonic cleaner for 1 minute</w:t>
      </w:r>
      <w:r w:rsidR="002C0D51">
        <w:t>.</w:t>
      </w:r>
    </w:p>
    <w:p w:rsidR="000A412B" w:rsidRPr="00A713D7" w:rsidRDefault="00CC3F01" w:rsidP="00C767ED">
      <w:pPr>
        <w:pStyle w:val="StepNumber10"/>
      </w:pPr>
      <w:r w:rsidRPr="00A713D7">
        <w:t>Pour off the water</w:t>
      </w:r>
      <w:r w:rsidR="00E73B73" w:rsidRPr="00A713D7">
        <w:t xml:space="preserve"> from the dish and drain the excess water from the parts.</w:t>
      </w:r>
      <w:bookmarkStart w:id="15" w:name="_GoBack"/>
      <w:bookmarkEnd w:id="15"/>
    </w:p>
    <w:p w:rsidR="009D7BCA" w:rsidRPr="00A713D7" w:rsidRDefault="009D7BCA" w:rsidP="00E600F7">
      <w:pPr>
        <w:pStyle w:val="StepNumber10"/>
        <w:numPr>
          <w:ilvl w:val="0"/>
          <w:numId w:val="0"/>
        </w:numPr>
        <w:rPr>
          <w:i/>
        </w:rPr>
      </w:pPr>
      <w:r w:rsidRPr="00A713D7">
        <w:rPr>
          <w:i/>
          <w:u w:val="single"/>
        </w:rPr>
        <w:t>NOTE:</w:t>
      </w:r>
      <w:r w:rsidRPr="00A713D7">
        <w:rPr>
          <w:i/>
        </w:rPr>
        <w:t xml:space="preserve"> After pouring off the water, the remainder of the plating process must be performed in IMMEDIATE succession, until the parts are nickel plated. DO NOT LET THE PARTS DRY AT ALL BETWEEN OPERATIONS.</w:t>
      </w:r>
    </w:p>
    <w:p w:rsidR="00176E43" w:rsidRPr="00A713D7" w:rsidRDefault="00176E43" w:rsidP="006A5C35">
      <w:pPr>
        <w:pStyle w:val="StepNumber10"/>
        <w:numPr>
          <w:ilvl w:val="0"/>
          <w:numId w:val="0"/>
        </w:numPr>
      </w:pPr>
    </w:p>
    <w:p w:rsidR="00FF23F6" w:rsidRPr="00A713D7" w:rsidRDefault="00FF23F6" w:rsidP="00FF23F6">
      <w:pPr>
        <w:pStyle w:val="RouterStep"/>
      </w:pPr>
      <w:bookmarkStart w:id="16" w:name="_Toc65158523"/>
      <w:r w:rsidRPr="00A713D7">
        <w:t>SENSITIZING</w:t>
      </w:r>
      <w:bookmarkEnd w:id="16"/>
    </w:p>
    <w:p w:rsidR="009D7BCA" w:rsidRPr="00A713D7" w:rsidRDefault="009D7BCA" w:rsidP="00176E43">
      <w:pPr>
        <w:pStyle w:val="StepNumber10"/>
        <w:numPr>
          <w:ilvl w:val="0"/>
          <w:numId w:val="11"/>
        </w:numPr>
        <w:ind w:left="360"/>
      </w:pPr>
      <w:r w:rsidRPr="00A713D7">
        <w:t>Carefully transfer the parts to the crystalizing dish labeled “Ni Sens”.</w:t>
      </w:r>
    </w:p>
    <w:p w:rsidR="009D7BCA" w:rsidRPr="00A713D7" w:rsidRDefault="009D7BCA" w:rsidP="006A5C35">
      <w:pPr>
        <w:pStyle w:val="StepNumber10"/>
      </w:pPr>
      <w:r w:rsidRPr="00A713D7">
        <w:t>Lightly agitate the storage flask marked “Sensitizing Solution” to mix the solution.</w:t>
      </w:r>
    </w:p>
    <w:p w:rsidR="009D7BCA" w:rsidRPr="00A713D7" w:rsidRDefault="009D7BCA" w:rsidP="006A5C35">
      <w:pPr>
        <w:pStyle w:val="StepNumber10"/>
      </w:pPr>
      <w:r w:rsidRPr="00A713D7">
        <w:t>Add enough Sensitizing Solution to the dish to cover the parts.</w:t>
      </w:r>
    </w:p>
    <w:p w:rsidR="009D7BCA" w:rsidRPr="00A713D7" w:rsidRDefault="009D7BCA" w:rsidP="006A5C35">
      <w:pPr>
        <w:pStyle w:val="StepNumber10"/>
      </w:pPr>
      <w:r w:rsidRPr="00A713D7">
        <w:t>Soak the parts in the solution for 3 minutes.</w:t>
      </w:r>
    </w:p>
    <w:p w:rsidR="009D7BCA" w:rsidRPr="00A713D7" w:rsidRDefault="009D7BCA" w:rsidP="006A5C35">
      <w:pPr>
        <w:pStyle w:val="StepNumber10"/>
      </w:pPr>
      <w:r w:rsidRPr="00A713D7">
        <w:t>Gently stir the solution every 20 seconds using a policeman.</w:t>
      </w:r>
    </w:p>
    <w:p w:rsidR="009D7BCA" w:rsidRPr="00A713D7" w:rsidRDefault="009D7BCA" w:rsidP="00E600F7">
      <w:pPr>
        <w:rPr>
          <w:i/>
        </w:rPr>
      </w:pPr>
      <w:r w:rsidRPr="00A713D7">
        <w:rPr>
          <w:i/>
          <w:u w:val="single"/>
        </w:rPr>
        <w:t>NOTE:</w:t>
      </w:r>
      <w:r w:rsidRPr="00A713D7">
        <w:rPr>
          <w:i/>
        </w:rPr>
        <w:t xml:space="preserve"> While the parts are sensitizing, make sure the dish marked “DI Rinse” is rinsed clean.</w:t>
      </w:r>
    </w:p>
    <w:p w:rsidR="009D7BCA" w:rsidRPr="00A713D7" w:rsidRDefault="009D7BCA" w:rsidP="006A5C35">
      <w:pPr>
        <w:pStyle w:val="StepNumber10"/>
      </w:pPr>
      <w:r w:rsidRPr="00A713D7">
        <w:t>Pour off the solution into a 1000mL plastic beaker for temporary storage during the process.</w:t>
      </w:r>
    </w:p>
    <w:p w:rsidR="009D7BCA" w:rsidRPr="00A713D7" w:rsidRDefault="009D7BCA" w:rsidP="00E600F7">
      <w:pPr>
        <w:rPr>
          <w:i/>
        </w:rPr>
      </w:pPr>
      <w:r w:rsidRPr="00A713D7">
        <w:rPr>
          <w:i/>
          <w:u w:val="single"/>
        </w:rPr>
        <w:t>NOTE:</w:t>
      </w:r>
      <w:r w:rsidRPr="00A713D7">
        <w:rPr>
          <w:i/>
        </w:rPr>
        <w:t xml:space="preserve">  The following steps must be done in immediate succession until the parts are immersed in the seeding solution.</w:t>
      </w:r>
    </w:p>
    <w:p w:rsidR="009D7BCA" w:rsidRPr="00A713D7" w:rsidRDefault="009D7BCA" w:rsidP="006A5C35">
      <w:pPr>
        <w:pStyle w:val="StepNumber10"/>
      </w:pPr>
      <w:r w:rsidRPr="00A713D7">
        <w:t>Carefully transfer the parts to the dish labeled “DI Rinse”.</w:t>
      </w:r>
    </w:p>
    <w:p w:rsidR="009D7BCA" w:rsidRPr="00A713D7" w:rsidRDefault="009D7BCA" w:rsidP="006A5C35">
      <w:pPr>
        <w:pStyle w:val="StepNumber10"/>
      </w:pPr>
      <w:r w:rsidRPr="00A713D7">
        <w:t>Rinse the parts using overflowing DI water for 3 minutes.</w:t>
      </w:r>
    </w:p>
    <w:p w:rsidR="009D7BCA" w:rsidRPr="00A713D7" w:rsidRDefault="009D7BCA" w:rsidP="006A5C35">
      <w:pPr>
        <w:pStyle w:val="StepNumber10"/>
      </w:pPr>
      <w:r w:rsidRPr="00A713D7">
        <w:t>Pour off the water from the dish and drain the excess water from the parts.</w:t>
      </w:r>
    </w:p>
    <w:p w:rsidR="00012BEE" w:rsidRPr="00A713D7" w:rsidRDefault="00012BEE" w:rsidP="00FF23F6">
      <w:pPr>
        <w:pStyle w:val="RouterStep"/>
      </w:pPr>
    </w:p>
    <w:p w:rsidR="00FF23F6" w:rsidRPr="00A713D7" w:rsidRDefault="00FF23F6" w:rsidP="00FF23F6">
      <w:pPr>
        <w:pStyle w:val="RouterStep"/>
      </w:pPr>
      <w:bookmarkStart w:id="17" w:name="_Toc65158524"/>
      <w:r w:rsidRPr="00A713D7">
        <w:t>SEEDING</w:t>
      </w:r>
      <w:bookmarkEnd w:id="17"/>
    </w:p>
    <w:p w:rsidR="009D7BCA" w:rsidRPr="00A713D7" w:rsidRDefault="009D7BCA" w:rsidP="00176E43">
      <w:pPr>
        <w:pStyle w:val="StepNumber10"/>
        <w:numPr>
          <w:ilvl w:val="0"/>
          <w:numId w:val="12"/>
        </w:numPr>
        <w:ind w:left="360"/>
      </w:pPr>
      <w:r w:rsidRPr="00A713D7">
        <w:t>Carefully transfer the parts to the crystalizing dish labeled “Ni Seed”.</w:t>
      </w:r>
    </w:p>
    <w:p w:rsidR="009D7BCA" w:rsidRPr="00A713D7" w:rsidRDefault="009D7BCA" w:rsidP="006A5C35">
      <w:pPr>
        <w:pStyle w:val="StepNumber10"/>
      </w:pPr>
      <w:r w:rsidRPr="00A713D7">
        <w:t>Add enough Nickel Seeding Solution to the dish to cover the parts.</w:t>
      </w:r>
    </w:p>
    <w:p w:rsidR="009D7BCA" w:rsidRPr="00A713D7" w:rsidRDefault="009D7BCA" w:rsidP="006A5C35">
      <w:pPr>
        <w:pStyle w:val="StepNumber10"/>
      </w:pPr>
      <w:r w:rsidRPr="00A713D7">
        <w:t>Soak the parts in the solution for 3 minutes.</w:t>
      </w:r>
    </w:p>
    <w:p w:rsidR="009D7BCA" w:rsidRPr="00A713D7" w:rsidRDefault="009D7BCA" w:rsidP="006A5C35">
      <w:pPr>
        <w:pStyle w:val="StepNumber10"/>
      </w:pPr>
      <w:r w:rsidRPr="00A713D7">
        <w:t>Gently stir the solution every 20 seconds using a policeman.</w:t>
      </w:r>
    </w:p>
    <w:p w:rsidR="009D7BCA" w:rsidRPr="00A713D7" w:rsidRDefault="009D7BCA" w:rsidP="006A5C35">
      <w:pPr>
        <w:pStyle w:val="StepNumber10"/>
      </w:pPr>
      <w:r w:rsidRPr="00A713D7">
        <w:t>Pour off the solution into a 1000mL plastic beaker for temporary storage during the process.</w:t>
      </w:r>
    </w:p>
    <w:p w:rsidR="009D7BCA" w:rsidRPr="00A713D7" w:rsidRDefault="009D7BCA" w:rsidP="00774297">
      <w:pPr>
        <w:rPr>
          <w:i/>
        </w:rPr>
      </w:pPr>
      <w:r w:rsidRPr="00A713D7">
        <w:rPr>
          <w:i/>
          <w:u w:val="single"/>
        </w:rPr>
        <w:t>NOTE:</w:t>
      </w:r>
      <w:r w:rsidRPr="00A713D7">
        <w:rPr>
          <w:i/>
        </w:rPr>
        <w:t xml:space="preserve">  The following steps must be done in immediate succession until the pieces are immersed in the nickeling bath.</w:t>
      </w:r>
    </w:p>
    <w:p w:rsidR="009D7BCA" w:rsidRPr="00A713D7" w:rsidRDefault="009D7BCA" w:rsidP="006A5C35">
      <w:pPr>
        <w:pStyle w:val="StepNumber10"/>
      </w:pPr>
      <w:r w:rsidRPr="00A713D7">
        <w:t>Carefully transfer the parts to the dish labeled “DI Rinse”.</w:t>
      </w:r>
    </w:p>
    <w:p w:rsidR="009D7BCA" w:rsidRPr="00A713D7" w:rsidRDefault="009D7BCA" w:rsidP="006A5C35">
      <w:pPr>
        <w:pStyle w:val="StepNumber10"/>
      </w:pPr>
      <w:r w:rsidRPr="00A713D7">
        <w:t>Rinse the parts using overflowing DI water for 3 minutes.</w:t>
      </w:r>
    </w:p>
    <w:p w:rsidR="009D7BCA" w:rsidRPr="00A713D7" w:rsidRDefault="009D7BCA" w:rsidP="006A5C35">
      <w:pPr>
        <w:pStyle w:val="StepNumber10"/>
      </w:pPr>
      <w:r w:rsidRPr="00A713D7">
        <w:t>Pour off the water from the dish and drain the excess water from the parts.</w:t>
      </w:r>
    </w:p>
    <w:p w:rsidR="00FF23F6" w:rsidRPr="00A713D7" w:rsidRDefault="00FF23F6" w:rsidP="00FF23F6">
      <w:pPr>
        <w:pStyle w:val="RouterStep"/>
      </w:pPr>
      <w:bookmarkStart w:id="18" w:name="_Toc65158525"/>
      <w:r w:rsidRPr="00A713D7">
        <w:lastRenderedPageBreak/>
        <w:t>NICKEL PLATING</w:t>
      </w:r>
      <w:bookmarkEnd w:id="18"/>
    </w:p>
    <w:p w:rsidR="0054775C" w:rsidRPr="00A713D7" w:rsidRDefault="0054775C" w:rsidP="00176E43">
      <w:pPr>
        <w:pStyle w:val="StepNumber10"/>
        <w:numPr>
          <w:ilvl w:val="0"/>
          <w:numId w:val="13"/>
        </w:numPr>
        <w:ind w:left="360"/>
      </w:pPr>
      <w:r w:rsidRPr="00A713D7">
        <w:t>Carefully transfer the parts to the heated bath of nickel solution prepared earlier.</w:t>
      </w:r>
    </w:p>
    <w:p w:rsidR="0054775C" w:rsidRPr="00A713D7" w:rsidRDefault="0054775C" w:rsidP="006A5C35">
      <w:pPr>
        <w:pStyle w:val="StepNumber10"/>
      </w:pPr>
      <w:r w:rsidRPr="00A713D7">
        <w:t>Refer to the router for plating time and set the timer accordingly.</w:t>
      </w:r>
    </w:p>
    <w:p w:rsidR="00176E43" w:rsidRPr="00A713D7" w:rsidRDefault="0054775C" w:rsidP="0054775C">
      <w:pPr>
        <w:rPr>
          <w:i/>
        </w:rPr>
      </w:pPr>
      <w:r w:rsidRPr="00A713D7">
        <w:rPr>
          <w:i/>
          <w:u w:val="single"/>
        </w:rPr>
        <w:t>NOTE:</w:t>
      </w:r>
      <w:r w:rsidRPr="00A713D7">
        <w:rPr>
          <w:i/>
        </w:rPr>
        <w:t xml:space="preserve"> Plating will proceed with the evolution of hydrogen gas. The parts should be agitated CONSTANTLY to keep hydrogen bubbles from clinging to the surface and preventing plating in those areas. The plating solution will quickly go from a light green to a dark green to black if you are not agitating enough. </w:t>
      </w:r>
    </w:p>
    <w:p w:rsidR="0054775C" w:rsidRPr="00A713D7" w:rsidRDefault="0054775C" w:rsidP="0054775C">
      <w:pPr>
        <w:rPr>
          <w:i/>
        </w:rPr>
      </w:pPr>
      <w:r w:rsidRPr="00A713D7">
        <w:rPr>
          <w:i/>
          <w:u w:val="single"/>
        </w:rPr>
        <w:t>NOTE:</w:t>
      </w:r>
      <w:r w:rsidRPr="00A713D7">
        <w:rPr>
          <w:i/>
        </w:rPr>
        <w:t xml:space="preserve"> As the plating process proceeds, the pieces will turn black or dark gray from their original color, then they will slowly turn silver-gray.</w:t>
      </w:r>
    </w:p>
    <w:p w:rsidR="007B23CB" w:rsidRPr="00A713D7" w:rsidRDefault="007B23CB" w:rsidP="007B23CB">
      <w:pPr>
        <w:keepNext/>
        <w:jc w:val="center"/>
      </w:pPr>
      <w:r w:rsidRPr="00A713D7">
        <w:rPr>
          <w:b/>
          <w:i/>
          <w:noProof/>
        </w:rPr>
        <w:drawing>
          <wp:inline distT="0" distB="0" distL="0" distR="0" wp14:anchorId="58909E0D" wp14:editId="7A236E55">
            <wp:extent cx="3818965" cy="3658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8965" cy="3658012"/>
                    </a:xfrm>
                    <a:prstGeom prst="rect">
                      <a:avLst/>
                    </a:prstGeom>
                  </pic:spPr>
                </pic:pic>
              </a:graphicData>
            </a:graphic>
          </wp:inline>
        </w:drawing>
      </w:r>
    </w:p>
    <w:p w:rsidR="007B23CB" w:rsidRPr="00A713D7" w:rsidRDefault="007B23CB" w:rsidP="007B23CB">
      <w:pPr>
        <w:pStyle w:val="Caption"/>
        <w:jc w:val="center"/>
      </w:pPr>
      <w:r w:rsidRPr="00A713D7">
        <w:t xml:space="preserve">Figure </w:t>
      </w:r>
      <w:r w:rsidR="002C0D51">
        <w:fldChar w:fldCharType="begin"/>
      </w:r>
      <w:r w:rsidR="002C0D51">
        <w:instrText xml:space="preserve"> SEQ Figure \* ARABIC </w:instrText>
      </w:r>
      <w:r w:rsidR="002C0D51">
        <w:fldChar w:fldCharType="separate"/>
      </w:r>
      <w:r w:rsidR="00A713D7">
        <w:rPr>
          <w:noProof/>
        </w:rPr>
        <w:t>1</w:t>
      </w:r>
      <w:r w:rsidR="002C0D51">
        <w:rPr>
          <w:noProof/>
        </w:rPr>
        <w:fldChar w:fldCharType="end"/>
      </w:r>
      <w:r w:rsidR="005E4B2B" w:rsidRPr="00A713D7">
        <w:t xml:space="preserve"> </w:t>
      </w:r>
      <w:r w:rsidR="00CD6B8C" w:rsidRPr="00A713D7">
        <w:rPr>
          <w:b w:val="0"/>
        </w:rPr>
        <w:t>22446-01</w:t>
      </w:r>
      <w:r w:rsidR="005E4B2B" w:rsidRPr="00A713D7">
        <w:rPr>
          <w:b w:val="0"/>
        </w:rPr>
        <w:t xml:space="preserve"> Showing Good Nickel Plating</w:t>
      </w:r>
    </w:p>
    <w:p w:rsidR="00176E43" w:rsidRPr="00A713D7" w:rsidRDefault="0054775C" w:rsidP="0054775C">
      <w:pPr>
        <w:rPr>
          <w:i/>
        </w:rPr>
      </w:pPr>
      <w:r w:rsidRPr="00A713D7">
        <w:rPr>
          <w:i/>
          <w:u w:val="single"/>
        </w:rPr>
        <w:t>NOTE:</w:t>
      </w:r>
      <w:r w:rsidRPr="00A713D7">
        <w:rPr>
          <w:i/>
        </w:rPr>
        <w:t xml:space="preserve"> If the solution bubbles excessively and turns black, it is over-plating. Strip the nickel and re-plate.</w:t>
      </w:r>
    </w:p>
    <w:p w:rsidR="00176E43" w:rsidRPr="00A713D7" w:rsidRDefault="0054775C" w:rsidP="000A412B">
      <w:pPr>
        <w:pStyle w:val="StepNumber10"/>
      </w:pPr>
      <w:r w:rsidRPr="00A713D7">
        <w:t xml:space="preserve">Pour off the used plating solution into a container labeled “Waste Nickel” and allow it to cool. </w:t>
      </w:r>
    </w:p>
    <w:p w:rsidR="00176E43" w:rsidRPr="00A713D7" w:rsidRDefault="0054775C" w:rsidP="0054775C">
      <w:pPr>
        <w:rPr>
          <w:i/>
        </w:rPr>
      </w:pPr>
      <w:r w:rsidRPr="00A713D7">
        <w:rPr>
          <w:i/>
          <w:u w:val="single"/>
        </w:rPr>
        <w:t>NOTE:</w:t>
      </w:r>
      <w:r w:rsidRPr="00A713D7">
        <w:rPr>
          <w:i/>
        </w:rPr>
        <w:t xml:space="preserve"> Nickel plating solution will be used only one time and then discarded. This means that it may need to be made up several times to plate a single job.</w:t>
      </w:r>
    </w:p>
    <w:p w:rsidR="00A713D7" w:rsidRPr="002C0D51" w:rsidRDefault="00A713D7" w:rsidP="006A5C35">
      <w:pPr>
        <w:pStyle w:val="StepNumber10"/>
      </w:pPr>
      <w:r w:rsidRPr="002C0D51">
        <w:t>Fill the dish with tap water, clean in the ultrasonic cleaner for 1 minute, and then pour off the water.</w:t>
      </w:r>
    </w:p>
    <w:p w:rsidR="00A713D7" w:rsidRPr="002C0D51" w:rsidRDefault="00A713D7" w:rsidP="006A5C35">
      <w:pPr>
        <w:pStyle w:val="StepNumber10"/>
      </w:pPr>
      <w:r w:rsidRPr="002C0D51">
        <w:t>Half fill the dish with DI water and add a couple of squirts of 50/50 ammonia.</w:t>
      </w:r>
    </w:p>
    <w:p w:rsidR="00A713D7" w:rsidRPr="002C0D51" w:rsidRDefault="00A713D7" w:rsidP="006A5C35">
      <w:pPr>
        <w:pStyle w:val="StepNumber10"/>
      </w:pPr>
      <w:r w:rsidRPr="002C0D51">
        <w:t xml:space="preserve">Agitate the parts slowly, then clean in the ultrasonic cleaner for 1 minute, and then pour off the water. </w:t>
      </w:r>
    </w:p>
    <w:p w:rsidR="0054775C" w:rsidRPr="002C0D51" w:rsidRDefault="0054775C" w:rsidP="006A5C35">
      <w:pPr>
        <w:pStyle w:val="StepNumber10"/>
      </w:pPr>
      <w:r w:rsidRPr="002C0D51">
        <w:t>Fill the dish with DI water, clean in the ultrasonic cleaner for 1 minute, and then pour off the water.</w:t>
      </w:r>
    </w:p>
    <w:p w:rsidR="000A412B" w:rsidRPr="00A713D7" w:rsidRDefault="000A412B" w:rsidP="000A412B">
      <w:pPr>
        <w:pStyle w:val="StepNumber10"/>
      </w:pPr>
      <w:r w:rsidRPr="00A713D7">
        <w:t>Add enough clean DI water to the dish to cover the parts.</w:t>
      </w:r>
    </w:p>
    <w:p w:rsidR="000A412B" w:rsidRPr="00A713D7" w:rsidRDefault="000A412B" w:rsidP="000A412B">
      <w:pPr>
        <w:pStyle w:val="StepNumber10"/>
        <w:numPr>
          <w:ilvl w:val="0"/>
          <w:numId w:val="0"/>
        </w:numPr>
        <w:rPr>
          <w:i/>
        </w:rPr>
      </w:pPr>
      <w:r w:rsidRPr="00A713D7">
        <w:rPr>
          <w:rFonts w:cs="Times New Roman"/>
          <w:i/>
          <w:szCs w:val="24"/>
          <w:u w:val="single"/>
        </w:rPr>
        <w:lastRenderedPageBreak/>
        <w:t>NOTE:</w:t>
      </w:r>
      <w:r w:rsidRPr="00A713D7">
        <w:rPr>
          <w:i/>
        </w:rPr>
        <w:t xml:space="preserve"> As parts are transferred from their original dish, make sure to transfer the job number to the new dish.</w:t>
      </w:r>
    </w:p>
    <w:p w:rsidR="000A412B" w:rsidRPr="00A713D7" w:rsidRDefault="000A412B" w:rsidP="000A412B">
      <w:pPr>
        <w:pStyle w:val="StepNumber10"/>
        <w:numPr>
          <w:ilvl w:val="0"/>
          <w:numId w:val="0"/>
        </w:numPr>
        <w:rPr>
          <w:i/>
        </w:rPr>
      </w:pPr>
      <w:r w:rsidRPr="00A713D7">
        <w:rPr>
          <w:rFonts w:cs="Times New Roman"/>
          <w:i/>
          <w:szCs w:val="24"/>
          <w:u w:val="single"/>
        </w:rPr>
        <w:t>NOTE:</w:t>
      </w:r>
      <w:r w:rsidRPr="00A713D7">
        <w:rPr>
          <w:i/>
        </w:rPr>
        <w:t xml:space="preserve"> At this point, the nickel-plated crystals can sit for no longer, than 1 hour in clean DI water before being gold plated.</w:t>
      </w:r>
    </w:p>
    <w:p w:rsidR="000A412B" w:rsidRPr="00A713D7" w:rsidRDefault="000A412B" w:rsidP="000A412B">
      <w:pPr>
        <w:pStyle w:val="StepNumber10"/>
        <w:numPr>
          <w:ilvl w:val="0"/>
          <w:numId w:val="0"/>
        </w:numPr>
        <w:rPr>
          <w:i/>
        </w:rPr>
      </w:pPr>
      <w:r w:rsidRPr="00A713D7">
        <w:rPr>
          <w:rFonts w:cs="Times New Roman"/>
          <w:i/>
          <w:szCs w:val="24"/>
          <w:u w:val="single"/>
        </w:rPr>
        <w:t>NOTE:</w:t>
      </w:r>
      <w:r w:rsidRPr="00A713D7">
        <w:rPr>
          <w:i/>
        </w:rPr>
        <w:t xml:space="preserve"> Parts must stay submerged until transferred (wet) into the gold plating solution.</w:t>
      </w:r>
    </w:p>
    <w:p w:rsidR="0054775C" w:rsidRPr="00A713D7" w:rsidRDefault="0054775C" w:rsidP="006A5C35">
      <w:pPr>
        <w:pStyle w:val="StepNumber10"/>
        <w:numPr>
          <w:ilvl w:val="0"/>
          <w:numId w:val="0"/>
        </w:numPr>
        <w:ind w:left="1080"/>
      </w:pPr>
    </w:p>
    <w:p w:rsidR="00FF23F6" w:rsidRPr="00A713D7" w:rsidRDefault="00FF23F6" w:rsidP="00FF23F6">
      <w:pPr>
        <w:pStyle w:val="RouterStep"/>
      </w:pPr>
      <w:bookmarkStart w:id="19" w:name="_Toc65158526"/>
      <w:r w:rsidRPr="00A713D7">
        <w:t>GOLD PLATING</w:t>
      </w:r>
      <w:bookmarkEnd w:id="19"/>
    </w:p>
    <w:p w:rsidR="00176E43" w:rsidRPr="00A713D7" w:rsidRDefault="007B23CB" w:rsidP="007B23CB">
      <w:pPr>
        <w:rPr>
          <w:i/>
        </w:rPr>
      </w:pPr>
      <w:r w:rsidRPr="00A713D7">
        <w:rPr>
          <w:i/>
          <w:u w:val="single"/>
        </w:rPr>
        <w:t>NOTE:</w:t>
      </w:r>
      <w:r w:rsidRPr="00A713D7">
        <w:rPr>
          <w:i/>
        </w:rPr>
        <w:t xml:space="preserve"> Only use clean plastic tweezers and policemen to touch the parts to ensure proper plating.  Rinse the tweezers with DI water after each step.</w:t>
      </w:r>
    </w:p>
    <w:p w:rsidR="007B23CB" w:rsidRPr="00A713D7" w:rsidRDefault="007B23CB" w:rsidP="00176E43">
      <w:pPr>
        <w:pStyle w:val="StepNumber10"/>
        <w:numPr>
          <w:ilvl w:val="0"/>
          <w:numId w:val="28"/>
        </w:numPr>
        <w:ind w:left="360"/>
      </w:pPr>
      <w:r w:rsidRPr="00A713D7">
        <w:t xml:space="preserve">Check that the gold plating bath is between 75°C and 80°C, adjust the hotplate if necessary. </w:t>
      </w:r>
    </w:p>
    <w:p w:rsidR="00176E43" w:rsidRPr="00A713D7" w:rsidRDefault="007B23CB" w:rsidP="000A412B">
      <w:pPr>
        <w:pStyle w:val="StepNumber10"/>
      </w:pPr>
      <w:r w:rsidRPr="00A713D7">
        <w:t xml:space="preserve">Carefully scoop the parts directly from the DI water into the heated bath of gold solution prepared earlier. Some extra DI water will not negatively affect the gold plating process. </w:t>
      </w:r>
    </w:p>
    <w:p w:rsidR="00176E43" w:rsidRPr="00A713D7" w:rsidRDefault="007B23CB" w:rsidP="007B23CB">
      <w:pPr>
        <w:rPr>
          <w:i/>
        </w:rPr>
      </w:pPr>
      <w:r w:rsidRPr="00A713D7">
        <w:rPr>
          <w:i/>
          <w:u w:val="single"/>
        </w:rPr>
        <w:t>NOTE:</w:t>
      </w:r>
      <w:r w:rsidRPr="00A713D7">
        <w:rPr>
          <w:i/>
        </w:rPr>
        <w:t xml:space="preserve"> Spread all parts out so their edges are not touching.</w:t>
      </w:r>
    </w:p>
    <w:p w:rsidR="00176E43" w:rsidRPr="00A713D7" w:rsidRDefault="007B23CB" w:rsidP="007B23CB">
      <w:pPr>
        <w:rPr>
          <w:i/>
        </w:rPr>
      </w:pPr>
      <w:r w:rsidRPr="00A713D7">
        <w:rPr>
          <w:i/>
          <w:u w:val="single"/>
        </w:rPr>
        <w:t>NOTE:</w:t>
      </w:r>
      <w:r w:rsidRPr="00A713D7">
        <w:rPr>
          <w:i/>
        </w:rPr>
        <w:t xml:space="preserve"> Small parts with blind cavities, such as 17744-01, should be placed on their edge for plating.</w:t>
      </w:r>
    </w:p>
    <w:p w:rsidR="007B23CB" w:rsidRPr="00A713D7" w:rsidRDefault="007B23CB" w:rsidP="006A5C35">
      <w:pPr>
        <w:pStyle w:val="StepNumber10"/>
      </w:pPr>
      <w:r w:rsidRPr="00A713D7">
        <w:t>Refer to the router for the plating time and set the timer accordingly.</w:t>
      </w:r>
    </w:p>
    <w:p w:rsidR="00176E43" w:rsidRPr="00A713D7" w:rsidRDefault="007B23CB" w:rsidP="000A412B">
      <w:pPr>
        <w:pStyle w:val="StepNumber10"/>
      </w:pPr>
      <w:r w:rsidRPr="00A713D7">
        <w:t>Gently agitate the solution by using the plastic stirrer.</w:t>
      </w:r>
    </w:p>
    <w:p w:rsidR="00176E43" w:rsidRPr="00A713D7" w:rsidRDefault="007B23CB" w:rsidP="007B23CB">
      <w:pPr>
        <w:rPr>
          <w:i/>
        </w:rPr>
      </w:pPr>
      <w:r w:rsidRPr="00A713D7">
        <w:rPr>
          <w:i/>
          <w:u w:val="single"/>
        </w:rPr>
        <w:t>NOTE:</w:t>
      </w:r>
      <w:r w:rsidRPr="00A713D7">
        <w:rPr>
          <w:i/>
        </w:rPr>
        <w:t xml:space="preserve">  The parts should begin to turn gold in the first few minutes.</w:t>
      </w:r>
    </w:p>
    <w:p w:rsidR="007B23CB" w:rsidRPr="00A713D7" w:rsidRDefault="007B23CB" w:rsidP="006A5C35">
      <w:pPr>
        <w:pStyle w:val="StepNumber10"/>
      </w:pPr>
      <w:r w:rsidRPr="00A713D7">
        <w:t>Fill the dish labeled “DI water” with DI water, if it is not already.</w:t>
      </w:r>
    </w:p>
    <w:p w:rsidR="007B23CB" w:rsidRPr="00A713D7" w:rsidRDefault="007B23CB" w:rsidP="006A5C35">
      <w:pPr>
        <w:pStyle w:val="StepNumber10"/>
      </w:pPr>
      <w:r w:rsidRPr="00A713D7">
        <w:t xml:space="preserve">After plating for the designated time, inspect the parts. </w:t>
      </w:r>
    </w:p>
    <w:p w:rsidR="007B23CB" w:rsidRPr="00A713D7" w:rsidRDefault="007B23CB" w:rsidP="000A412B">
      <w:pPr>
        <w:pStyle w:val="StepNumber10"/>
        <w:numPr>
          <w:ilvl w:val="1"/>
          <w:numId w:val="1"/>
        </w:numPr>
      </w:pPr>
      <w:r w:rsidRPr="00A713D7">
        <w:t>If the plating looks complete, uniform and yellow, remove the parts from the solution.</w:t>
      </w:r>
    </w:p>
    <w:p w:rsidR="007B23CB" w:rsidRPr="00A713D7" w:rsidRDefault="007B23CB" w:rsidP="000A412B">
      <w:pPr>
        <w:pStyle w:val="StepNumber10"/>
        <w:numPr>
          <w:ilvl w:val="1"/>
          <w:numId w:val="1"/>
        </w:numPr>
      </w:pPr>
      <w:r w:rsidRPr="00A713D7">
        <w:t>If the plating looks thin, grayish, allow the parts to plate up to five minutes longer and then replace the gold plating solution before plating more parts.</w:t>
      </w:r>
    </w:p>
    <w:p w:rsidR="007B23CB" w:rsidRPr="00A713D7" w:rsidRDefault="007B23CB" w:rsidP="000A412B">
      <w:pPr>
        <w:pStyle w:val="StepNumber10"/>
        <w:numPr>
          <w:ilvl w:val="1"/>
          <w:numId w:val="1"/>
        </w:numPr>
      </w:pPr>
      <w:r w:rsidRPr="00A713D7">
        <w:t xml:space="preserve">If the parts still have not plated after the additional five minutes, parts are to be stripped and re-plated. </w:t>
      </w:r>
    </w:p>
    <w:p w:rsidR="007B23CB" w:rsidRPr="00A713D7" w:rsidRDefault="007B23CB" w:rsidP="007B23CB">
      <w:pPr>
        <w:rPr>
          <w:i/>
        </w:rPr>
      </w:pPr>
      <w:r w:rsidRPr="00A713D7">
        <w:rPr>
          <w:i/>
          <w:u w:val="single"/>
        </w:rPr>
        <w:t>NOTE:</w:t>
      </w:r>
      <w:r w:rsidRPr="00A713D7">
        <w:rPr>
          <w:i/>
        </w:rPr>
        <w:t xml:space="preserve"> It is normal for the solution to turn blue when parts are added and to remain blue after parts are removed.</w:t>
      </w:r>
    </w:p>
    <w:p w:rsidR="007B23CB" w:rsidRPr="00A713D7" w:rsidRDefault="007B23CB" w:rsidP="007B23CB">
      <w:pPr>
        <w:rPr>
          <w:i/>
        </w:rPr>
      </w:pPr>
      <w:r w:rsidRPr="00A713D7">
        <w:rPr>
          <w:i/>
          <w:u w:val="single"/>
        </w:rPr>
        <w:t>NOTE:</w:t>
      </w:r>
      <w:r w:rsidRPr="00A713D7">
        <w:rPr>
          <w:i/>
        </w:rPr>
        <w:t xml:space="preserve"> When plating parts 22446-01 sized parts and smaller, pour off the gold solution into another dish, then carefully transfer the parts to the DI water, and then replace the gold solution in the bath.</w:t>
      </w:r>
    </w:p>
    <w:p w:rsidR="00176E43" w:rsidRPr="00A713D7" w:rsidRDefault="007B23CB" w:rsidP="007B23CB">
      <w:pPr>
        <w:rPr>
          <w:i/>
        </w:rPr>
      </w:pPr>
      <w:r w:rsidRPr="00A713D7">
        <w:rPr>
          <w:i/>
          <w:u w:val="single"/>
        </w:rPr>
        <w:t>NOTE:</w:t>
      </w:r>
      <w:r w:rsidRPr="00A713D7">
        <w:rPr>
          <w:i/>
        </w:rPr>
        <w:t xml:space="preserve"> When plating larger parts, remove the parts using plastic tweezers and place them directly into the DI water.</w:t>
      </w:r>
    </w:p>
    <w:p w:rsidR="007B23CB" w:rsidRPr="00A713D7" w:rsidRDefault="007B23CB" w:rsidP="006A5C35">
      <w:pPr>
        <w:pStyle w:val="StepNumber10"/>
      </w:pPr>
      <w:r w:rsidRPr="00A713D7">
        <w:t>Gently agitate the parts to rinse, and then remove the parts from the water in a similar manner.</w:t>
      </w:r>
    </w:p>
    <w:p w:rsidR="007B23CB" w:rsidRPr="00A713D7" w:rsidRDefault="007B23CB" w:rsidP="006A5C35">
      <w:pPr>
        <w:pStyle w:val="StepNumber10"/>
      </w:pPr>
      <w:r w:rsidRPr="00A713D7">
        <w:t>Fill the dish labeled “Methanol” with Methanol, if it is not already.</w:t>
      </w:r>
    </w:p>
    <w:p w:rsidR="007B23CB" w:rsidRPr="00A713D7" w:rsidRDefault="007B23CB" w:rsidP="006A5C35">
      <w:pPr>
        <w:pStyle w:val="StepNumber10"/>
      </w:pPr>
      <w:r w:rsidRPr="00A713D7">
        <w:t>Carefully transfer the parts to the dish, gently rinse the parts, and then pour off the methanol into another dish.</w:t>
      </w:r>
    </w:p>
    <w:p w:rsidR="00176E43" w:rsidRPr="00A713D7" w:rsidRDefault="007B23CB" w:rsidP="000A412B">
      <w:pPr>
        <w:pStyle w:val="StepNumber10"/>
      </w:pPr>
      <w:r w:rsidRPr="00A713D7">
        <w:t>Place the parts onto a clean glass dish and dry in the oven for at least 10 minutes.</w:t>
      </w:r>
    </w:p>
    <w:p w:rsidR="00176E43" w:rsidRPr="00A713D7" w:rsidRDefault="007B23CB" w:rsidP="007B23CB">
      <w:pPr>
        <w:rPr>
          <w:i/>
        </w:rPr>
      </w:pPr>
      <w:r w:rsidRPr="00A713D7">
        <w:rPr>
          <w:i/>
          <w:u w:val="single"/>
        </w:rPr>
        <w:t>NOTE:</w:t>
      </w:r>
      <w:r w:rsidRPr="00A713D7">
        <w:rPr>
          <w:i/>
        </w:rPr>
        <w:t xml:space="preserve"> The glass tray needs to be labeled with the job number and time into the oven using a Sharpie.</w:t>
      </w:r>
    </w:p>
    <w:p w:rsidR="007B23CB" w:rsidRPr="00A713D7" w:rsidRDefault="007B23CB" w:rsidP="006A5C35">
      <w:pPr>
        <w:pStyle w:val="StepNumber10"/>
      </w:pPr>
      <w:r w:rsidRPr="00A713D7">
        <w:lastRenderedPageBreak/>
        <w:t>If the plating solution in the dish gets too low to cover parts, it can be replenished with some additional plating solution. Check that the solution is back at temperature before continuing with plating.</w:t>
      </w:r>
    </w:p>
    <w:p w:rsidR="007B23CB" w:rsidRPr="00A713D7" w:rsidRDefault="007B23CB" w:rsidP="006A5C35">
      <w:pPr>
        <w:pStyle w:val="StepNumber10"/>
      </w:pPr>
      <w:r w:rsidRPr="00A713D7">
        <w:t>Tape test an AQL sample, per Table 1, of finished parts</w:t>
      </w:r>
      <w:r w:rsidR="00771C7E" w:rsidRPr="00A713D7">
        <w:t xml:space="preserve"> per each plating run</w:t>
      </w:r>
      <w:r w:rsidRPr="00A713D7">
        <w:t xml:space="preserve">. If the parts fail the tape test, strip the plating off the parts and then re-plate the parts starting at </w:t>
      </w:r>
      <w:r w:rsidR="000A412B" w:rsidRPr="00A713D7">
        <w:rPr>
          <w:b/>
        </w:rPr>
        <w:t>Cleaning of Etched Grains</w:t>
      </w:r>
      <w:r w:rsidR="00771C7E" w:rsidRPr="00A713D7">
        <w:t>.</w:t>
      </w:r>
    </w:p>
    <w:p w:rsidR="007B23CB" w:rsidRPr="00A713D7" w:rsidRDefault="007B23CB" w:rsidP="007B23CB">
      <w:pPr>
        <w:jc w:val="center"/>
        <w:rPr>
          <w:rFonts w:cs="Arial"/>
          <w:b/>
        </w:rPr>
      </w:pPr>
      <w:r w:rsidRPr="00A713D7">
        <w:rPr>
          <w:rFonts w:cs="Arial"/>
          <w:b/>
        </w:rPr>
        <w:t xml:space="preserve">Table </w:t>
      </w:r>
      <w:r w:rsidRPr="00A713D7">
        <w:rPr>
          <w:rFonts w:cs="Arial"/>
          <w:b/>
        </w:rPr>
        <w:fldChar w:fldCharType="begin"/>
      </w:r>
      <w:r w:rsidRPr="00A713D7">
        <w:rPr>
          <w:rFonts w:cs="Arial"/>
          <w:b/>
        </w:rPr>
        <w:instrText xml:space="preserve"> SEQ Table \* ARABIC </w:instrText>
      </w:r>
      <w:r w:rsidRPr="00A713D7">
        <w:rPr>
          <w:rFonts w:cs="Arial"/>
          <w:b/>
        </w:rPr>
        <w:fldChar w:fldCharType="separate"/>
      </w:r>
      <w:r w:rsidR="00A713D7">
        <w:rPr>
          <w:rFonts w:cs="Arial"/>
          <w:b/>
          <w:noProof/>
        </w:rPr>
        <w:t>1</w:t>
      </w:r>
      <w:r w:rsidRPr="00A713D7">
        <w:rPr>
          <w:rFonts w:cs="Arial"/>
          <w:b/>
        </w:rPr>
        <w:fldChar w:fldCharType="end"/>
      </w:r>
      <w:r w:rsidRPr="00A713D7">
        <w:rPr>
          <w:rFonts w:cs="Arial"/>
          <w:b/>
        </w:rPr>
        <w:t>: AQL 0.065 Level I Sampling Plan for Major Defects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3600"/>
      </w:tblGrid>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b/>
              </w:rPr>
            </w:pP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792"/>
              <w:contextualSpacing/>
              <w:rPr>
                <w:rFonts w:cs="Arial"/>
                <w:b/>
              </w:rPr>
            </w:pPr>
            <w:r w:rsidRPr="00A713D7">
              <w:rPr>
                <w:rFonts w:cs="Arial"/>
                <w:b/>
              </w:rPr>
              <w:t>0.065 Single Normal</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b/>
              </w:rPr>
            </w:pPr>
            <w:r w:rsidRPr="00A713D7">
              <w:rPr>
                <w:rFonts w:cs="Arial"/>
                <w:b/>
              </w:rPr>
              <w:t>LOT SIZE</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b/>
              </w:rPr>
            </w:pPr>
            <w:r w:rsidRPr="00A713D7">
              <w:rPr>
                <w:rFonts w:cs="Arial"/>
                <w:b/>
              </w:rPr>
              <w:t>SAMPLE SIZE         Ac  Re</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4"/>
              </w:numPr>
              <w:overflowPunct w:val="0"/>
              <w:autoSpaceDE w:val="0"/>
              <w:autoSpaceDN w:val="0"/>
              <w:adjustRightInd w:val="0"/>
              <w:spacing w:line="240" w:lineRule="auto"/>
              <w:contextualSpacing/>
              <w:textAlignment w:val="baseline"/>
              <w:rPr>
                <w:rFonts w:cs="Arial"/>
              </w:rPr>
            </w:pPr>
            <w:r w:rsidRPr="00A713D7">
              <w:rPr>
                <w:rFonts w:cs="Arial"/>
              </w:rPr>
              <w:t>to 8</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2                                  0   1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5"/>
              </w:numPr>
              <w:overflowPunct w:val="0"/>
              <w:autoSpaceDE w:val="0"/>
              <w:autoSpaceDN w:val="0"/>
              <w:adjustRightInd w:val="0"/>
              <w:spacing w:line="240" w:lineRule="auto"/>
              <w:contextualSpacing/>
              <w:textAlignment w:val="baseline"/>
              <w:rPr>
                <w:rFonts w:cs="Arial"/>
              </w:rPr>
            </w:pPr>
            <w:r w:rsidRPr="00A713D7">
              <w:rPr>
                <w:rFonts w:cs="Arial"/>
              </w:rPr>
              <w:t>to 15</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2                                  0   1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6"/>
              </w:numPr>
              <w:overflowPunct w:val="0"/>
              <w:autoSpaceDE w:val="0"/>
              <w:autoSpaceDN w:val="0"/>
              <w:adjustRightInd w:val="0"/>
              <w:spacing w:line="240" w:lineRule="auto"/>
              <w:contextualSpacing/>
              <w:textAlignment w:val="baseline"/>
              <w:rPr>
                <w:rFonts w:cs="Arial"/>
              </w:rPr>
            </w:pPr>
            <w:r w:rsidRPr="00A713D7">
              <w:rPr>
                <w:rFonts w:cs="Arial"/>
              </w:rPr>
              <w:t>to 25</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3                                  0   1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7"/>
              </w:numPr>
              <w:overflowPunct w:val="0"/>
              <w:autoSpaceDE w:val="0"/>
              <w:autoSpaceDN w:val="0"/>
              <w:adjustRightInd w:val="0"/>
              <w:spacing w:line="240" w:lineRule="auto"/>
              <w:contextualSpacing/>
              <w:textAlignment w:val="baseline"/>
              <w:rPr>
                <w:rFonts w:cs="Arial"/>
              </w:rPr>
            </w:pPr>
            <w:r w:rsidRPr="00A713D7">
              <w:rPr>
                <w:rFonts w:cs="Arial"/>
              </w:rPr>
              <w:t>to 50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5                                  0   1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8"/>
              </w:numPr>
              <w:overflowPunct w:val="0"/>
              <w:autoSpaceDE w:val="0"/>
              <w:autoSpaceDN w:val="0"/>
              <w:adjustRightInd w:val="0"/>
              <w:spacing w:line="240" w:lineRule="auto"/>
              <w:contextualSpacing/>
              <w:textAlignment w:val="baseline"/>
              <w:rPr>
                <w:rFonts w:cs="Arial"/>
              </w:rPr>
            </w:pPr>
            <w:r w:rsidRPr="00A713D7">
              <w:rPr>
                <w:rFonts w:cs="Arial"/>
              </w:rPr>
              <w:t>to 90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5                                  0   1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9"/>
              </w:numPr>
              <w:overflowPunct w:val="0"/>
              <w:autoSpaceDE w:val="0"/>
              <w:autoSpaceDN w:val="0"/>
              <w:adjustRightInd w:val="0"/>
              <w:spacing w:line="240" w:lineRule="auto"/>
              <w:contextualSpacing/>
              <w:textAlignment w:val="baseline"/>
              <w:rPr>
                <w:rFonts w:cs="Arial"/>
              </w:rPr>
            </w:pPr>
            <w:r w:rsidRPr="00A713D7">
              <w:rPr>
                <w:rFonts w:cs="Arial"/>
              </w:rPr>
              <w:t>to 150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8                                  0   1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0"/>
              </w:numPr>
              <w:overflowPunct w:val="0"/>
              <w:autoSpaceDE w:val="0"/>
              <w:autoSpaceDN w:val="0"/>
              <w:adjustRightInd w:val="0"/>
              <w:spacing w:line="240" w:lineRule="auto"/>
              <w:contextualSpacing/>
              <w:textAlignment w:val="baseline"/>
              <w:rPr>
                <w:rFonts w:cs="Arial"/>
              </w:rPr>
            </w:pPr>
            <w:r w:rsidRPr="00A713D7">
              <w:rPr>
                <w:rFonts w:cs="Arial"/>
              </w:rPr>
              <w:t xml:space="preserve"> to 280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13                                0   1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1"/>
              </w:numPr>
              <w:overflowPunct w:val="0"/>
              <w:autoSpaceDE w:val="0"/>
              <w:autoSpaceDN w:val="0"/>
              <w:adjustRightInd w:val="0"/>
              <w:spacing w:line="240" w:lineRule="auto"/>
              <w:contextualSpacing/>
              <w:textAlignment w:val="baseline"/>
              <w:rPr>
                <w:rFonts w:cs="Arial"/>
              </w:rPr>
            </w:pPr>
            <w:r w:rsidRPr="00A713D7">
              <w:rPr>
                <w:rFonts w:cs="Arial"/>
              </w:rPr>
              <w:t xml:space="preserve"> to 500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 xml:space="preserve">20                                0   1 </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2"/>
              </w:numPr>
              <w:overflowPunct w:val="0"/>
              <w:autoSpaceDE w:val="0"/>
              <w:autoSpaceDN w:val="0"/>
              <w:adjustRightInd w:val="0"/>
              <w:spacing w:line="240" w:lineRule="auto"/>
              <w:contextualSpacing/>
              <w:textAlignment w:val="baseline"/>
              <w:rPr>
                <w:rFonts w:cs="Arial"/>
              </w:rPr>
            </w:pPr>
            <w:r w:rsidRPr="00A713D7">
              <w:rPr>
                <w:rFonts w:cs="Arial"/>
              </w:rPr>
              <w:t xml:space="preserve"> to 1200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32                                0   1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3"/>
              </w:numPr>
              <w:overflowPunct w:val="0"/>
              <w:autoSpaceDE w:val="0"/>
              <w:autoSpaceDN w:val="0"/>
              <w:adjustRightInd w:val="0"/>
              <w:spacing w:line="240" w:lineRule="auto"/>
              <w:contextualSpacing/>
              <w:textAlignment w:val="baseline"/>
              <w:rPr>
                <w:rFonts w:cs="Arial"/>
              </w:rPr>
            </w:pPr>
            <w:r w:rsidRPr="00A713D7">
              <w:rPr>
                <w:rFonts w:cs="Arial"/>
              </w:rPr>
              <w:t xml:space="preserve"> to 3200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50                                0   1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4"/>
              </w:numPr>
              <w:overflowPunct w:val="0"/>
              <w:autoSpaceDE w:val="0"/>
              <w:autoSpaceDN w:val="0"/>
              <w:adjustRightInd w:val="0"/>
              <w:spacing w:line="240" w:lineRule="auto"/>
              <w:contextualSpacing/>
              <w:textAlignment w:val="baseline"/>
              <w:rPr>
                <w:rFonts w:cs="Arial"/>
              </w:rPr>
            </w:pPr>
            <w:r w:rsidRPr="00A713D7">
              <w:rPr>
                <w:rFonts w:cs="Arial"/>
              </w:rPr>
              <w:t xml:space="preserve"> to 10000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80                                0   1</w:t>
            </w:r>
          </w:p>
        </w:tc>
      </w:tr>
      <w:tr w:rsidR="00C767ED"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10001 to 35000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125                              0   1</w:t>
            </w:r>
          </w:p>
        </w:tc>
      </w:tr>
    </w:tbl>
    <w:p w:rsidR="007B23CB" w:rsidRPr="00A713D7" w:rsidRDefault="007B23CB" w:rsidP="00012BEE">
      <w:pPr>
        <w:pStyle w:val="StepNumber10"/>
        <w:numPr>
          <w:ilvl w:val="0"/>
          <w:numId w:val="0"/>
        </w:numPr>
        <w:ind w:left="1080"/>
        <w:jc w:val="center"/>
      </w:pPr>
      <w:r w:rsidRPr="00A713D7">
        <w:rPr>
          <w:noProof/>
        </w:rPr>
        <w:drawing>
          <wp:inline distT="0" distB="0" distL="0" distR="0" wp14:anchorId="5BB74461" wp14:editId="34776192">
            <wp:extent cx="3113184" cy="317350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2968"/>
                    <a:stretch/>
                  </pic:blipFill>
                  <pic:spPr bwMode="auto">
                    <a:xfrm>
                      <a:off x="0" y="0"/>
                      <a:ext cx="3141176" cy="3202040"/>
                    </a:xfrm>
                    <a:prstGeom prst="rect">
                      <a:avLst/>
                    </a:prstGeom>
                    <a:ln>
                      <a:noFill/>
                    </a:ln>
                    <a:extLst>
                      <a:ext uri="{53640926-AAD7-44D8-BBD7-CCE9431645EC}">
                        <a14:shadowObscured xmlns:a14="http://schemas.microsoft.com/office/drawing/2010/main"/>
                      </a:ext>
                    </a:extLst>
                  </pic:spPr>
                </pic:pic>
              </a:graphicData>
            </a:graphic>
          </wp:inline>
        </w:drawing>
      </w:r>
    </w:p>
    <w:p w:rsidR="007B23CB" w:rsidRPr="00A713D7" w:rsidRDefault="007B23CB" w:rsidP="007B23CB">
      <w:pPr>
        <w:pStyle w:val="Caption"/>
        <w:jc w:val="center"/>
      </w:pPr>
      <w:r w:rsidRPr="00A713D7">
        <w:t xml:space="preserve">Figure </w:t>
      </w:r>
      <w:r w:rsidR="002C0D51">
        <w:fldChar w:fldCharType="begin"/>
      </w:r>
      <w:r w:rsidR="002C0D51">
        <w:instrText xml:space="preserve"> SEQ Figure \* ARABIC </w:instrText>
      </w:r>
      <w:r w:rsidR="002C0D51">
        <w:fldChar w:fldCharType="separate"/>
      </w:r>
      <w:r w:rsidR="00A713D7">
        <w:rPr>
          <w:noProof/>
        </w:rPr>
        <w:t>2</w:t>
      </w:r>
      <w:r w:rsidR="002C0D51">
        <w:rPr>
          <w:noProof/>
        </w:rPr>
        <w:fldChar w:fldCharType="end"/>
      </w:r>
      <w:r w:rsidR="005E4B2B" w:rsidRPr="00A713D7">
        <w:t xml:space="preserve"> </w:t>
      </w:r>
      <w:r w:rsidR="005E4B2B" w:rsidRPr="00A713D7">
        <w:rPr>
          <w:b w:val="0"/>
        </w:rPr>
        <w:t xml:space="preserve">Good gold-plated </w:t>
      </w:r>
      <w:r w:rsidR="00CD6B8C" w:rsidRPr="00A713D7">
        <w:rPr>
          <w:b w:val="0"/>
        </w:rPr>
        <w:t>22446-01s</w:t>
      </w:r>
      <w:r w:rsidR="005E4B2B" w:rsidRPr="00A713D7">
        <w:rPr>
          <w:b w:val="0"/>
        </w:rPr>
        <w:t>. Plating looks complete, uniform and yellow.</w:t>
      </w:r>
    </w:p>
    <w:p w:rsidR="00FF23F6" w:rsidRPr="00A713D7" w:rsidRDefault="00FF23F6" w:rsidP="00FF23F6">
      <w:pPr>
        <w:pStyle w:val="RouterStep"/>
      </w:pPr>
      <w:bookmarkStart w:id="20" w:name="_Toc65158527"/>
      <w:r w:rsidRPr="00A713D7">
        <w:lastRenderedPageBreak/>
        <w:t>CLEANUP</w:t>
      </w:r>
      <w:bookmarkEnd w:id="20"/>
      <w:r w:rsidRPr="00A713D7">
        <w:t xml:space="preserve"> </w:t>
      </w:r>
    </w:p>
    <w:p w:rsidR="007B23CB" w:rsidRPr="00A713D7" w:rsidRDefault="007B23CB" w:rsidP="00C767ED">
      <w:pPr>
        <w:pStyle w:val="StepNumber10"/>
        <w:numPr>
          <w:ilvl w:val="0"/>
          <w:numId w:val="27"/>
        </w:numPr>
        <w:ind w:left="360"/>
      </w:pPr>
      <w:r w:rsidRPr="00A713D7">
        <w:t>Clean and rinse all dishes and trays, and store appropriately.</w:t>
      </w:r>
    </w:p>
    <w:p w:rsidR="007B23CB" w:rsidRPr="00A713D7" w:rsidRDefault="007B23CB" w:rsidP="006A5C35">
      <w:pPr>
        <w:pStyle w:val="StepNumber10"/>
      </w:pPr>
      <w:r w:rsidRPr="00A713D7">
        <w:t>Return the 50/50 Nitric Acid Solution to its storage container.</w:t>
      </w:r>
    </w:p>
    <w:p w:rsidR="007B23CB" w:rsidRPr="00A713D7" w:rsidRDefault="007B23CB" w:rsidP="006A5C35">
      <w:pPr>
        <w:pStyle w:val="StepNumber10"/>
      </w:pPr>
      <w:r w:rsidRPr="00A713D7">
        <w:t xml:space="preserve">Pour the sensitizing solution back into </w:t>
      </w:r>
      <w:r w:rsidR="00C767ED" w:rsidRPr="00A713D7">
        <w:t xml:space="preserve">another </w:t>
      </w:r>
      <w:r w:rsidRPr="00A713D7">
        <w:t>flask marked “</w:t>
      </w:r>
      <w:r w:rsidR="00C767ED" w:rsidRPr="00A713D7">
        <w:t>Used Sensitizing Solution</w:t>
      </w:r>
      <w:r w:rsidRPr="00A713D7">
        <w:t>”</w:t>
      </w:r>
      <w:r w:rsidR="00C767ED" w:rsidRPr="00A713D7">
        <w:t xml:space="preserve"> for future use.  Once this solution becomes spent, pour into the waste nickel solution container.</w:t>
      </w:r>
    </w:p>
    <w:p w:rsidR="007B23CB" w:rsidRPr="00A713D7" w:rsidRDefault="007B23CB" w:rsidP="006A5C35">
      <w:pPr>
        <w:pStyle w:val="StepNumber10"/>
      </w:pPr>
      <w:r w:rsidRPr="00A713D7">
        <w:t xml:space="preserve">Pour the seeding solution back into </w:t>
      </w:r>
      <w:r w:rsidR="00C767ED" w:rsidRPr="00A713D7">
        <w:t>another</w:t>
      </w:r>
      <w:r w:rsidRPr="00A713D7">
        <w:t xml:space="preserve"> bottle marked “</w:t>
      </w:r>
      <w:r w:rsidR="00C767ED" w:rsidRPr="00A713D7">
        <w:t>Used Nickel Seeding Solution</w:t>
      </w:r>
      <w:r w:rsidRPr="00A713D7">
        <w:t>”</w:t>
      </w:r>
      <w:r w:rsidR="00C767ED" w:rsidRPr="00A713D7">
        <w:t xml:space="preserve"> for future use.  Once this solution becomes spent, pour into the waste nickel solution container.</w:t>
      </w:r>
    </w:p>
    <w:p w:rsidR="007B23CB" w:rsidRPr="00A713D7" w:rsidRDefault="007B23CB" w:rsidP="006A5C35">
      <w:pPr>
        <w:pStyle w:val="StepNumber10"/>
      </w:pPr>
      <w:r w:rsidRPr="00A713D7">
        <w:t>Once cool, pour the spent nickeling solution into the waste nickel solution container.</w:t>
      </w:r>
    </w:p>
    <w:p w:rsidR="007B23CB" w:rsidRPr="00A713D7" w:rsidRDefault="007B23CB" w:rsidP="006A5C35">
      <w:pPr>
        <w:pStyle w:val="StepNumber10"/>
      </w:pPr>
      <w:r w:rsidRPr="00A713D7">
        <w:t>Dispose of any waste paper towels contaminated with the gold solution by wrapping them up in rubber gloves prior to discarding in the trash.</w:t>
      </w:r>
    </w:p>
    <w:p w:rsidR="007B23CB" w:rsidRPr="00A713D7" w:rsidRDefault="007B23CB" w:rsidP="006A5C35">
      <w:pPr>
        <w:pStyle w:val="StepNumber10"/>
      </w:pPr>
      <w:r w:rsidRPr="00A713D7">
        <w:t>Pour the methanol into the waste solvent drum after the plating run is entirely complete.</w:t>
      </w:r>
    </w:p>
    <w:p w:rsidR="007B23CB" w:rsidRPr="00A713D7" w:rsidRDefault="007B23CB" w:rsidP="006A5C35">
      <w:pPr>
        <w:pStyle w:val="StepNumber10"/>
      </w:pPr>
      <w:r w:rsidRPr="00A713D7">
        <w:t>Store the used gold solution in an appropriately labeled plastic bottle for future use.</w:t>
      </w:r>
    </w:p>
    <w:p w:rsidR="00FF23F6" w:rsidRPr="00A713D7" w:rsidRDefault="007B23CB" w:rsidP="007B23CB">
      <w:pPr>
        <w:rPr>
          <w:i/>
        </w:rPr>
      </w:pPr>
      <w:r w:rsidRPr="00A713D7">
        <w:rPr>
          <w:i/>
          <w:u w:val="single"/>
        </w:rPr>
        <w:t>NOTE:</w:t>
      </w:r>
      <w:r w:rsidRPr="00A713D7">
        <w:rPr>
          <w:i/>
        </w:rPr>
        <w:t xml:space="preserve"> The Gold solution can be reused many times until depletion occurs. Depleted solution should be stored in an appropriately labeled plastic bottle for disposal.</w:t>
      </w:r>
    </w:p>
    <w:p w:rsidR="007B23CB" w:rsidRPr="00A713D7" w:rsidRDefault="007B23CB">
      <w:pPr>
        <w:spacing w:line="240" w:lineRule="auto"/>
      </w:pPr>
      <w:r w:rsidRPr="00A713D7">
        <w:br w:type="page"/>
      </w:r>
    </w:p>
    <w:p w:rsidR="00FF600E" w:rsidRPr="00A713D7" w:rsidRDefault="005E4B2B" w:rsidP="00FF600E">
      <w:pPr>
        <w:pStyle w:val="RouterStep"/>
      </w:pPr>
      <w:bookmarkStart w:id="21" w:name="_Toc65158528"/>
      <w:r w:rsidRPr="00A713D7">
        <w:rPr>
          <w:caps w:val="0"/>
        </w:rPr>
        <w:lastRenderedPageBreak/>
        <w:t>APPENDIX</w:t>
      </w:r>
      <w:r w:rsidR="00C767ED" w:rsidRPr="00A713D7">
        <w:t>: EQUIPMENT AND CHEMICALS</w:t>
      </w:r>
      <w:bookmarkEnd w:id="21"/>
    </w:p>
    <w:tbl>
      <w:tblPr>
        <w:tblStyle w:val="TableGrid"/>
        <w:tblW w:w="0" w:type="auto"/>
        <w:tblLook w:val="04A0" w:firstRow="1" w:lastRow="0" w:firstColumn="1" w:lastColumn="0" w:noHBand="0" w:noVBand="1"/>
      </w:tblPr>
      <w:tblGrid>
        <w:gridCol w:w="5035"/>
        <w:gridCol w:w="5035"/>
      </w:tblGrid>
      <w:tr w:rsidR="00A713D7" w:rsidRPr="00A713D7" w:rsidTr="00CD6B8C">
        <w:tc>
          <w:tcPr>
            <w:tcW w:w="5035" w:type="dxa"/>
          </w:tcPr>
          <w:p w:rsidR="007B23CB" w:rsidRPr="00A713D7" w:rsidRDefault="00D4293A" w:rsidP="007B23CB">
            <w:pPr>
              <w:pStyle w:val="BodyText1"/>
              <w:ind w:left="90" w:hanging="27"/>
              <w:rPr>
                <w:rFonts w:ascii="Arial" w:hAnsi="Arial" w:cs="Arial"/>
                <w:b/>
                <w:sz w:val="18"/>
                <w:szCs w:val="18"/>
              </w:rPr>
            </w:pPr>
            <w:r w:rsidRPr="00A713D7">
              <w:rPr>
                <w:rFonts w:ascii="Arial" w:hAnsi="Arial" w:cs="Arial"/>
                <w:b/>
                <w:sz w:val="18"/>
                <w:szCs w:val="18"/>
              </w:rPr>
              <w:t>EQUIPMENT</w:t>
            </w:r>
          </w:p>
        </w:tc>
        <w:tc>
          <w:tcPr>
            <w:tcW w:w="5035" w:type="dxa"/>
          </w:tcPr>
          <w:p w:rsidR="007B23CB" w:rsidRPr="00A713D7" w:rsidRDefault="00D4293A" w:rsidP="007B23CB">
            <w:pPr>
              <w:ind w:left="90" w:hanging="27"/>
              <w:rPr>
                <w:rFonts w:cs="Arial"/>
                <w:b/>
                <w:sz w:val="18"/>
                <w:szCs w:val="18"/>
              </w:rPr>
            </w:pPr>
            <w:r w:rsidRPr="00A713D7">
              <w:rPr>
                <w:rFonts w:cs="Arial"/>
                <w:b/>
                <w:sz w:val="18"/>
                <w:szCs w:val="18"/>
              </w:rPr>
              <w:t>CHEMICALS</w:t>
            </w:r>
          </w:p>
        </w:tc>
      </w:tr>
      <w:tr w:rsidR="00A713D7" w:rsidRPr="00A713D7" w:rsidTr="00CD6B8C">
        <w:tc>
          <w:tcPr>
            <w:tcW w:w="5035" w:type="dxa"/>
          </w:tcPr>
          <w:p w:rsidR="00D4293A" w:rsidRPr="00A713D7" w:rsidRDefault="00D4293A" w:rsidP="00CD6B8C">
            <w:pPr>
              <w:pStyle w:val="BodyText1"/>
              <w:ind w:left="87" w:hanging="29"/>
              <w:rPr>
                <w:rFonts w:ascii="Arial" w:hAnsi="Arial" w:cs="Arial"/>
                <w:sz w:val="18"/>
                <w:szCs w:val="18"/>
              </w:rPr>
            </w:pPr>
            <w:r w:rsidRPr="00A713D7">
              <w:rPr>
                <w:rFonts w:ascii="Arial" w:hAnsi="Arial" w:cs="Arial"/>
                <w:sz w:val="18"/>
                <w:szCs w:val="18"/>
              </w:rPr>
              <w:t>1000ml flask labeled “</w:t>
            </w:r>
            <w:r w:rsidR="00CD6B8C" w:rsidRPr="00A713D7">
              <w:rPr>
                <w:rFonts w:ascii="Arial" w:hAnsi="Arial" w:cs="Arial"/>
                <w:sz w:val="18"/>
                <w:szCs w:val="18"/>
              </w:rPr>
              <w:t>Ni Sensitize Solution</w:t>
            </w:r>
            <w:r w:rsidRPr="00A713D7">
              <w:rPr>
                <w:rFonts w:ascii="Arial" w:hAnsi="Arial" w:cs="Arial"/>
                <w:sz w:val="18"/>
                <w:szCs w:val="18"/>
              </w:rPr>
              <w:t>”</w:t>
            </w:r>
          </w:p>
        </w:tc>
        <w:tc>
          <w:tcPr>
            <w:tcW w:w="5035" w:type="dxa"/>
          </w:tcPr>
          <w:p w:rsidR="00D4293A" w:rsidRPr="00A713D7" w:rsidRDefault="00D4293A" w:rsidP="00D4293A">
            <w:pPr>
              <w:pStyle w:val="BodyText1"/>
              <w:ind w:left="-17"/>
              <w:rPr>
                <w:rFonts w:ascii="Arial" w:hAnsi="Arial" w:cs="Arial"/>
                <w:sz w:val="18"/>
                <w:szCs w:val="18"/>
              </w:rPr>
            </w:pPr>
            <w:r w:rsidRPr="00A713D7">
              <w:rPr>
                <w:rFonts w:ascii="Arial" w:hAnsi="Arial" w:cs="Arial"/>
                <w:sz w:val="18"/>
                <w:szCs w:val="18"/>
              </w:rPr>
              <w:t>Reagent grade Tin Tetrafluoroborate, 50% w/w Aqueous (PCB p/n 100-17230-20)</w:t>
            </w:r>
          </w:p>
        </w:tc>
      </w:tr>
      <w:tr w:rsidR="00A713D7" w:rsidRPr="00A713D7" w:rsidTr="00CD6B8C">
        <w:tc>
          <w:tcPr>
            <w:tcW w:w="5035" w:type="dxa"/>
          </w:tcPr>
          <w:p w:rsidR="007B23CB" w:rsidRPr="00A713D7" w:rsidRDefault="007B23CB" w:rsidP="00D4293A">
            <w:pPr>
              <w:pStyle w:val="BodyText1"/>
              <w:ind w:left="87" w:hanging="29"/>
              <w:rPr>
                <w:rFonts w:ascii="Arial" w:hAnsi="Arial" w:cs="Arial"/>
                <w:sz w:val="18"/>
                <w:szCs w:val="18"/>
              </w:rPr>
            </w:pPr>
            <w:r w:rsidRPr="00A713D7">
              <w:rPr>
                <w:rFonts w:ascii="Arial" w:hAnsi="Arial" w:cs="Arial"/>
                <w:sz w:val="18"/>
                <w:szCs w:val="18"/>
              </w:rPr>
              <w:t>1000ml flask labeled “Ni Seed Solution”</w:t>
            </w:r>
          </w:p>
        </w:tc>
        <w:tc>
          <w:tcPr>
            <w:tcW w:w="5035" w:type="dxa"/>
          </w:tcPr>
          <w:p w:rsidR="007B23CB" w:rsidRPr="00A713D7" w:rsidRDefault="00D4293A" w:rsidP="00D4293A">
            <w:pPr>
              <w:pStyle w:val="BodyText1"/>
              <w:ind w:left="-17"/>
              <w:rPr>
                <w:rFonts w:ascii="Arial" w:hAnsi="Arial" w:cs="Arial"/>
                <w:sz w:val="18"/>
                <w:szCs w:val="18"/>
              </w:rPr>
            </w:pPr>
            <w:r w:rsidRPr="00A713D7">
              <w:rPr>
                <w:rFonts w:ascii="Arial" w:hAnsi="Arial" w:cs="Arial"/>
                <w:sz w:val="18"/>
                <w:szCs w:val="18"/>
              </w:rPr>
              <w:t xml:space="preserve">Reagent grade Palladium Chloride (PCB p/n 100-17230-10) </w:t>
            </w:r>
          </w:p>
        </w:tc>
      </w:tr>
      <w:tr w:rsidR="00A713D7" w:rsidRPr="00A713D7" w:rsidTr="00CD6B8C">
        <w:tc>
          <w:tcPr>
            <w:tcW w:w="5035" w:type="dxa"/>
          </w:tcPr>
          <w:p w:rsidR="007B23CB" w:rsidRPr="00A713D7" w:rsidRDefault="007B23CB" w:rsidP="00D4293A">
            <w:pPr>
              <w:pStyle w:val="BodyText1"/>
              <w:ind w:left="87" w:hanging="29"/>
              <w:rPr>
                <w:rFonts w:ascii="Arial" w:hAnsi="Arial" w:cs="Arial"/>
                <w:sz w:val="18"/>
                <w:szCs w:val="18"/>
              </w:rPr>
            </w:pPr>
            <w:r w:rsidRPr="00A713D7">
              <w:rPr>
                <w:rFonts w:ascii="Arial" w:hAnsi="Arial" w:cs="Arial"/>
                <w:sz w:val="18"/>
                <w:szCs w:val="18"/>
              </w:rPr>
              <w:t>1000ml Pyrex beaker labeled “Nickel A”</w:t>
            </w:r>
          </w:p>
        </w:tc>
        <w:tc>
          <w:tcPr>
            <w:tcW w:w="5035" w:type="dxa"/>
          </w:tcPr>
          <w:p w:rsidR="007B23CB" w:rsidRPr="00A713D7" w:rsidRDefault="00D4293A" w:rsidP="00D4293A">
            <w:pPr>
              <w:pStyle w:val="BodyText1"/>
              <w:ind w:left="-17"/>
              <w:rPr>
                <w:rFonts w:ascii="Arial" w:hAnsi="Arial" w:cs="Arial"/>
                <w:sz w:val="18"/>
                <w:szCs w:val="18"/>
              </w:rPr>
            </w:pPr>
            <w:r w:rsidRPr="00A713D7">
              <w:rPr>
                <w:rFonts w:ascii="Arial" w:hAnsi="Arial" w:cs="Arial"/>
                <w:sz w:val="18"/>
                <w:szCs w:val="18"/>
              </w:rPr>
              <w:t>Reagent grade Nickel Sulphate (PCB p/n 100-17229-70)</w:t>
            </w:r>
          </w:p>
        </w:tc>
      </w:tr>
      <w:tr w:rsidR="00A713D7" w:rsidRPr="00A713D7" w:rsidTr="00CD6B8C">
        <w:tc>
          <w:tcPr>
            <w:tcW w:w="5035" w:type="dxa"/>
          </w:tcPr>
          <w:p w:rsidR="007B23CB" w:rsidRPr="00A713D7" w:rsidRDefault="007B23CB" w:rsidP="00D4293A">
            <w:pPr>
              <w:pStyle w:val="BodyText1"/>
              <w:ind w:left="87" w:hanging="29"/>
              <w:rPr>
                <w:rFonts w:ascii="Arial" w:hAnsi="Arial" w:cs="Arial"/>
                <w:sz w:val="18"/>
                <w:szCs w:val="18"/>
              </w:rPr>
            </w:pPr>
            <w:r w:rsidRPr="00A713D7">
              <w:rPr>
                <w:rFonts w:ascii="Arial" w:hAnsi="Arial" w:cs="Arial"/>
                <w:sz w:val="18"/>
                <w:szCs w:val="18"/>
              </w:rPr>
              <w:t>1000ml Pyrex beaker labeled “Nickel B”</w:t>
            </w:r>
          </w:p>
        </w:tc>
        <w:tc>
          <w:tcPr>
            <w:tcW w:w="5035" w:type="dxa"/>
          </w:tcPr>
          <w:p w:rsidR="007B23CB" w:rsidRPr="00A713D7" w:rsidRDefault="00D4293A" w:rsidP="00D4293A">
            <w:pPr>
              <w:pStyle w:val="BodyText1"/>
              <w:ind w:left="-17"/>
              <w:rPr>
                <w:rFonts w:ascii="Arial" w:hAnsi="Arial" w:cs="Arial"/>
                <w:sz w:val="18"/>
                <w:szCs w:val="18"/>
              </w:rPr>
            </w:pPr>
            <w:r w:rsidRPr="00A713D7">
              <w:rPr>
                <w:rFonts w:ascii="Arial" w:hAnsi="Arial" w:cs="Arial"/>
                <w:sz w:val="18"/>
                <w:szCs w:val="18"/>
              </w:rPr>
              <w:t>Reagent grade Sodium Citrate (PCB p/n 100-17230-00)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“50/50”</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Sodium Acetate (PCB p/n 100-17229-80)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“Ni Sens”</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Sodium Hypophosphite (PCB p/n 100-17229-60)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“Ni Seed”</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Magnesium Sulfate (PCB p/n 100-17229-90)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“Nickel”</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37.3% Hydrochloric Acid (PCB p/n 100-8374-30)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“E-Gold”</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Transene Bright Electroless Gold Solution (PCB p/n 100-8766-00)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“DI Water”</w:t>
            </w:r>
          </w:p>
        </w:tc>
        <w:tc>
          <w:tcPr>
            <w:tcW w:w="5035" w:type="dxa"/>
          </w:tcPr>
          <w:p w:rsidR="00CD6B8C" w:rsidRPr="00A713D7" w:rsidRDefault="00CD6B8C" w:rsidP="00D4293A">
            <w:pPr>
              <w:spacing w:line="240" w:lineRule="auto"/>
              <w:ind w:left="-17" w:hanging="27"/>
              <w:rPr>
                <w:rFonts w:cs="Arial"/>
                <w:sz w:val="18"/>
                <w:szCs w:val="18"/>
              </w:rPr>
            </w:pPr>
            <w:r w:rsidRPr="00A713D7">
              <w:rPr>
                <w:rFonts w:cs="Arial"/>
                <w:sz w:val="18"/>
                <w:szCs w:val="18"/>
              </w:rPr>
              <w:t>50/50 Solution of Reagent grade 69.7% Nitric Acid (PCB p/n 100-8374-20) and DI water</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“Methanol”</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Methanol (PCB p/n 100-8374-70 / 100-17228-40)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One gallon bottle marked “Nickel “A”</w:t>
            </w:r>
          </w:p>
        </w:tc>
        <w:tc>
          <w:tcPr>
            <w:tcW w:w="5035" w:type="dxa"/>
          </w:tcPr>
          <w:p w:rsidR="00CD6B8C" w:rsidRPr="002C0D51" w:rsidRDefault="00A713D7" w:rsidP="00D4293A">
            <w:pPr>
              <w:pStyle w:val="BodyText1"/>
              <w:ind w:left="-17"/>
              <w:rPr>
                <w:rFonts w:ascii="Arial" w:hAnsi="Arial" w:cs="Arial"/>
                <w:sz w:val="18"/>
                <w:szCs w:val="18"/>
              </w:rPr>
            </w:pPr>
            <w:r w:rsidRPr="002C0D51">
              <w:rPr>
                <w:rFonts w:ascii="Arial" w:hAnsi="Arial" w:cs="Arial"/>
                <w:sz w:val="18"/>
                <w:szCs w:val="18"/>
              </w:rPr>
              <w:t>50/50 Solution of Ammonium Hydroxide (PCB p/n 100-8374-40) and DI water</w:t>
            </w:r>
          </w:p>
        </w:tc>
      </w:tr>
      <w:tr w:rsidR="00A713D7" w:rsidRPr="00A713D7" w:rsidTr="00CD6B8C">
        <w:trPr>
          <w:trHeight w:val="62"/>
        </w:trPr>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One gallon bottle marked “Nickel “B”</w:t>
            </w:r>
          </w:p>
        </w:tc>
        <w:tc>
          <w:tcPr>
            <w:tcW w:w="5035" w:type="dxa"/>
          </w:tcPr>
          <w:p w:rsidR="00CD6B8C" w:rsidRPr="002C0D51" w:rsidRDefault="00A713D7" w:rsidP="00D4293A">
            <w:pPr>
              <w:pStyle w:val="BodyText1"/>
              <w:rPr>
                <w:rFonts w:ascii="Arial" w:hAnsi="Arial" w:cs="Arial"/>
                <w:sz w:val="18"/>
                <w:szCs w:val="18"/>
              </w:rPr>
            </w:pPr>
            <w:r w:rsidRPr="002C0D51">
              <w:rPr>
                <w:rFonts w:ascii="Arial" w:hAnsi="Arial" w:cs="Arial"/>
                <w:sz w:val="18"/>
                <w:szCs w:val="18"/>
              </w:rPr>
              <w:t>DI water</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Hot Plate and Magnetic Stirrers</w:t>
            </w:r>
          </w:p>
        </w:tc>
        <w:tc>
          <w:tcPr>
            <w:tcW w:w="5035" w:type="dxa"/>
          </w:tcPr>
          <w:p w:rsidR="00CD6B8C" w:rsidRPr="002C0D51" w:rsidRDefault="00A713D7" w:rsidP="00A713D7">
            <w:pPr>
              <w:rPr>
                <w:rFonts w:cs="Arial"/>
                <w:sz w:val="18"/>
                <w:szCs w:val="18"/>
              </w:rPr>
            </w:pPr>
            <w:r w:rsidRPr="002C0D51">
              <w:rPr>
                <w:rFonts w:cs="Arial"/>
                <w:sz w:val="18"/>
                <w:szCs w:val="18"/>
              </w:rPr>
              <w:t>Tap water</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2x 190mm x 100mm Pyrex dishes with a bed of alumina beads, for hot water baths</w:t>
            </w:r>
          </w:p>
        </w:tc>
        <w:tc>
          <w:tcPr>
            <w:tcW w:w="5035" w:type="dxa"/>
          </w:tcPr>
          <w:p w:rsidR="00CD6B8C" w:rsidRPr="002C0D51"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Balance with resolution ±0.05g</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Various graduated cylinders (10mL, 25ml, 100mI, 250ml, 500mI)</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Polyethylene stirrers (“policemen”)</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Glass cover dishes, 150mm dia or similar</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Various other beakers as required</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Drying Oven set to 90°C</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Digital Thermometer with probe</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Plastic-tipped tweezers</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Paper towels</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Kim wipes</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Lab timers</w:t>
            </w:r>
          </w:p>
        </w:tc>
        <w:tc>
          <w:tcPr>
            <w:tcW w:w="5035" w:type="dxa"/>
          </w:tcPr>
          <w:p w:rsidR="00CD6B8C" w:rsidRPr="00A713D7" w:rsidRDefault="00CD6B8C" w:rsidP="007B23CB">
            <w:pPr>
              <w:ind w:left="90" w:hanging="27"/>
              <w:rPr>
                <w:rFonts w:cs="Arial"/>
                <w:sz w:val="18"/>
                <w:szCs w:val="18"/>
              </w:rPr>
            </w:pPr>
          </w:p>
        </w:tc>
      </w:tr>
    </w:tbl>
    <w:p w:rsidR="00D4293A" w:rsidRPr="00BE527D" w:rsidRDefault="00D4293A" w:rsidP="00D4293A">
      <w:pPr>
        <w:ind w:left="90" w:hanging="27"/>
        <w:rPr>
          <w:rFonts w:cs="Arial"/>
          <w:szCs w:val="20"/>
        </w:rPr>
      </w:pPr>
    </w:p>
    <w:sectPr w:rsidR="00D4293A" w:rsidRPr="00BE527D" w:rsidSect="00F92086">
      <w:headerReference w:type="default" r:id="rId10"/>
      <w:footerReference w:type="default" r:id="rId11"/>
      <w:pgSz w:w="12240" w:h="15840" w:code="1"/>
      <w:pgMar w:top="720" w:right="72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28" w:rsidRDefault="00C50228">
      <w:r>
        <w:separator/>
      </w:r>
    </w:p>
  </w:endnote>
  <w:endnote w:type="continuationSeparator" w:id="0">
    <w:p w:rsidR="00C50228" w:rsidRDefault="00C5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7" w:rsidRDefault="00A713D7" w:rsidP="0010675E">
    <w:pPr>
      <w:pStyle w:val="Footer"/>
      <w:tabs>
        <w:tab w:val="clear" w:pos="6480"/>
      </w:tabs>
      <w:spacing w:line="240" w:lineRule="auto"/>
      <w:ind w:left="-1080"/>
      <w:rPr>
        <w:sz w:val="16"/>
        <w:szCs w:val="16"/>
      </w:rPr>
    </w:pPr>
    <w:r>
      <w:rPr>
        <w:sz w:val="16"/>
        <w:szCs w:val="16"/>
      </w:rPr>
      <w:tab/>
      <w:t>CR1032</w:t>
    </w:r>
  </w:p>
  <w:p w:rsidR="00A713D7" w:rsidRPr="0010675E" w:rsidRDefault="00A713D7" w:rsidP="0010675E">
    <w:pPr>
      <w:pStyle w:val="Footer"/>
      <w:tabs>
        <w:tab w:val="clear" w:pos="6480"/>
        <w:tab w:val="left" w:pos="8730"/>
      </w:tabs>
      <w:spacing w:line="240" w:lineRule="auto"/>
      <w:ind w:left="-1080"/>
      <w:rPr>
        <w:sz w:val="16"/>
        <w:szCs w:val="16"/>
      </w:rPr>
    </w:pPr>
    <w:r w:rsidRPr="0010675E">
      <w:rPr>
        <w:sz w:val="16"/>
        <w:szCs w:val="16"/>
      </w:rPr>
      <w:t xml:space="preserve">User Guide: </w:t>
    </w:r>
    <w:r w:rsidRPr="005E4B2B">
      <w:rPr>
        <w:sz w:val="16"/>
        <w:szCs w:val="16"/>
      </w:rPr>
      <w:t>Electroless Nickel and Gold Plating of Ceramic Crystals</w:t>
    </w:r>
    <w:r w:rsidRPr="0010675E">
      <w:rPr>
        <w:sz w:val="16"/>
        <w:szCs w:val="16"/>
      </w:rPr>
      <w:t xml:space="preserve"> </w:t>
    </w:r>
    <w:r>
      <w:rPr>
        <w:sz w:val="16"/>
        <w:szCs w:val="16"/>
      </w:rPr>
      <w:t xml:space="preserve">               </w:t>
    </w:r>
    <w:r w:rsidRPr="0010675E">
      <w:rPr>
        <w:sz w:val="16"/>
        <w:szCs w:val="16"/>
      </w:rPr>
      <w:t xml:space="preserve">Page </w:t>
    </w:r>
    <w:r w:rsidRPr="0010675E">
      <w:rPr>
        <w:sz w:val="16"/>
        <w:szCs w:val="16"/>
      </w:rPr>
      <w:fldChar w:fldCharType="begin"/>
    </w:r>
    <w:r w:rsidRPr="0010675E">
      <w:rPr>
        <w:sz w:val="16"/>
        <w:szCs w:val="16"/>
      </w:rPr>
      <w:instrText>PAGE</w:instrText>
    </w:r>
    <w:r w:rsidRPr="0010675E">
      <w:rPr>
        <w:sz w:val="16"/>
        <w:szCs w:val="16"/>
      </w:rPr>
      <w:fldChar w:fldCharType="separate"/>
    </w:r>
    <w:r w:rsidR="002C0D51">
      <w:rPr>
        <w:noProof/>
        <w:sz w:val="16"/>
        <w:szCs w:val="16"/>
      </w:rPr>
      <w:t>11</w:t>
    </w:r>
    <w:r w:rsidRPr="0010675E">
      <w:rPr>
        <w:sz w:val="16"/>
        <w:szCs w:val="16"/>
      </w:rPr>
      <w:fldChar w:fldCharType="end"/>
    </w:r>
    <w:r w:rsidRPr="0010675E">
      <w:rPr>
        <w:sz w:val="16"/>
        <w:szCs w:val="16"/>
      </w:rPr>
      <w:t xml:space="preserve"> of </w:t>
    </w:r>
    <w:r w:rsidRPr="0010675E">
      <w:rPr>
        <w:sz w:val="16"/>
        <w:szCs w:val="16"/>
      </w:rPr>
      <w:fldChar w:fldCharType="begin"/>
    </w:r>
    <w:r w:rsidRPr="0010675E">
      <w:rPr>
        <w:sz w:val="16"/>
        <w:szCs w:val="16"/>
      </w:rPr>
      <w:instrText>numpages</w:instrText>
    </w:r>
    <w:r w:rsidRPr="0010675E">
      <w:rPr>
        <w:sz w:val="16"/>
        <w:szCs w:val="16"/>
      </w:rPr>
      <w:fldChar w:fldCharType="separate"/>
    </w:r>
    <w:r w:rsidR="002C0D51">
      <w:rPr>
        <w:noProof/>
        <w:sz w:val="16"/>
        <w:szCs w:val="16"/>
      </w:rPr>
      <w:t>11</w:t>
    </w:r>
    <w:r w:rsidRPr="0010675E">
      <w:rPr>
        <w:sz w:val="16"/>
        <w:szCs w:val="16"/>
      </w:rPr>
      <w:fldChar w:fldCharType="end"/>
    </w:r>
    <w:r>
      <w:rPr>
        <w:sz w:val="16"/>
        <w:szCs w:val="16"/>
      </w:rPr>
      <w:tab/>
    </w:r>
    <w:r>
      <w:rPr>
        <w:sz w:val="16"/>
        <w:szCs w:val="16"/>
      </w:rPr>
      <w:tab/>
      <w:t xml:space="preserve">Rev </w:t>
    </w:r>
    <w:r w:rsidR="002C0D51">
      <w:rPr>
        <w:sz w:val="16"/>
        <w:szCs w:val="16"/>
      </w:rPr>
      <w: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28" w:rsidRDefault="00C50228">
      <w:r>
        <w:separator/>
      </w:r>
    </w:p>
  </w:footnote>
  <w:footnote w:type="continuationSeparator" w:id="0">
    <w:p w:rsidR="00C50228" w:rsidRDefault="00C5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7" w:rsidRPr="00EE07F1" w:rsidRDefault="00A713D7" w:rsidP="00941FDF">
    <w:pPr>
      <w:framePr w:w="2592" w:h="1066" w:hSpace="187" w:wrap="around" w:vAnchor="page" w:hAnchor="page" w:x="12529" w:y="721" w:anchorLock="1"/>
      <w:spacing w:line="240" w:lineRule="auto"/>
      <w:jc w:val="both"/>
      <w:rPr>
        <w:color w:val="0000FF"/>
        <w:sz w:val="10"/>
      </w:rPr>
    </w:pPr>
    <w:r w:rsidRPr="00EE07F1">
      <w:rPr>
        <w:color w:val="0000FF"/>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rsidR="00A713D7" w:rsidRPr="00EE07F1" w:rsidRDefault="00A713D7" w:rsidP="00F92086">
    <w:pPr>
      <w:framePr w:w="2592" w:h="1066" w:hSpace="187" w:wrap="around" w:vAnchor="page" w:hAnchor="page" w:x="12529" w:y="2161" w:anchorLock="1"/>
      <w:spacing w:line="240" w:lineRule="auto"/>
      <w:jc w:val="both"/>
      <w:rPr>
        <w:color w:val="0000FF"/>
        <w:sz w:val="10"/>
      </w:rPr>
    </w:pPr>
    <w:r w:rsidRPr="00EE07F1">
      <w:rPr>
        <w:color w:val="0000FF"/>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rsidR="00A713D7" w:rsidRPr="00A4023D" w:rsidRDefault="00A713D7" w:rsidP="00303742">
    <w:pPr>
      <w:spacing w:line="240" w:lineRule="auto"/>
      <w:ind w:left="-900"/>
      <w:jc w:val="right"/>
      <w:rPr>
        <w:sz w:val="4"/>
        <w:szCs w:val="4"/>
      </w:rPr>
    </w:pPr>
    <w:r>
      <w:rPr>
        <w:noProof/>
        <w:szCs w:val="20"/>
      </w:rPr>
      <w:t xml:space="preserve">              </w:t>
    </w:r>
    <w:r>
      <w:rPr>
        <w:noProof/>
        <w:szCs w:val="20"/>
      </w:rPr>
      <w:drawing>
        <wp:inline distT="0" distB="0" distL="0" distR="0" wp14:anchorId="3C3B7653" wp14:editId="4B77F116">
          <wp:extent cx="2140016" cy="294252"/>
          <wp:effectExtent l="0" t="0" r="0" b="5715"/>
          <wp:docPr id="1" name="Picture 1" descr="PCB Piezotronics, In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40016" cy="294252"/>
                  </a:xfrm>
                  <a:prstGeom prst="rect">
                    <a:avLst/>
                  </a:prstGeom>
                  <a:noFill/>
                  <a:ln>
                    <a:noFill/>
                  </a:ln>
                </pic:spPr>
              </pic:pic>
            </a:graphicData>
          </a:graphic>
        </wp:inline>
      </w:drawing>
    </w:r>
    <w:r w:rsidRPr="00F92086">
      <w:rPr>
        <w:noProof/>
      </w:rPr>
      <w:t xml:space="preserve"> </w:t>
    </w:r>
    <w:r>
      <w:rPr>
        <w:noProof/>
      </w:rPr>
      <w:t xml:space="preserve">                                                                             </w:t>
    </w:r>
    <w:r>
      <w:rPr>
        <w:noProof/>
      </w:rPr>
      <w:drawing>
        <wp:inline distT="0" distB="0" distL="0" distR="0" wp14:anchorId="42323B70" wp14:editId="1C1F150D">
          <wp:extent cx="1569085" cy="423545"/>
          <wp:effectExtent l="0" t="0" r="0" b="0"/>
          <wp:docPr id="203" name="imgTCS" descr="Click to go to TCS">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 name="imgTCS" descr="Click to go to TCS">
                    <a:hlinkClick r:id="rId4"/>
                  </pic:cNvPr>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69085" cy="423545"/>
                  </a:xfrm>
                  <a:prstGeom prst="rect">
                    <a:avLst/>
                  </a:prstGeom>
                  <a:noFill/>
                  <a:ln>
                    <a:noFill/>
                  </a:ln>
                </pic:spPr>
              </pic:pic>
            </a:graphicData>
          </a:graphic>
        </wp:inline>
      </w:drawing>
    </w:r>
  </w:p>
  <w:p w:rsidR="00A713D7" w:rsidRDefault="00A713D7" w:rsidP="00FF23F6">
    <w:pPr>
      <w:spacing w:line="240" w:lineRule="auto"/>
      <w:ind w:left="-720"/>
      <w:jc w:val="center"/>
      <w:rPr>
        <w:sz w:val="28"/>
      </w:rPr>
    </w:pPr>
  </w:p>
  <w:p w:rsidR="00A713D7" w:rsidRPr="00FF23F6" w:rsidRDefault="00A713D7" w:rsidP="00FF23F6">
    <w:pPr>
      <w:spacing w:line="240" w:lineRule="auto"/>
      <w:ind w:left="-720"/>
      <w:jc w:val="center"/>
      <w:rPr>
        <w:sz w:val="14"/>
        <w:szCs w:val="8"/>
      </w:rPr>
    </w:pPr>
    <w:r w:rsidRPr="00FF23F6">
      <w:rPr>
        <w:sz w:val="28"/>
      </w:rPr>
      <w:t>User Guide: Electroless Nickel and Gold Plating of Ceramic Crystals</w:t>
    </w:r>
  </w:p>
  <w:p w:rsidR="00A713D7" w:rsidRDefault="00A713D7" w:rsidP="00E112B4">
    <w:pPr>
      <w:spacing w:after="120" w:line="240" w:lineRule="auto"/>
    </w:pPr>
    <w:r>
      <w:rPr>
        <w:noProof/>
      </w:rPr>
      <mc:AlternateContent>
        <mc:Choice Requires="wps">
          <w:drawing>
            <wp:anchor distT="0" distB="0" distL="114300" distR="114300" simplePos="0" relativeHeight="251659264" behindDoc="0" locked="0" layoutInCell="1" allowOverlap="1" wp14:anchorId="0CA65CEB" wp14:editId="5813F379">
              <wp:simplePos x="0" y="0"/>
              <wp:positionH relativeFrom="column">
                <wp:posOffset>-296283</wp:posOffset>
              </wp:positionH>
              <wp:positionV relativeFrom="paragraph">
                <wp:posOffset>152101</wp:posOffset>
              </wp:positionV>
              <wp:extent cx="6872438" cy="0"/>
              <wp:effectExtent l="0" t="19050" r="24130" b="19050"/>
              <wp:wrapNone/>
              <wp:docPr id="5" name="Straight Connector 5"/>
              <wp:cNvGraphicFramePr/>
              <a:graphic xmlns:a="http://schemas.openxmlformats.org/drawingml/2006/main">
                <a:graphicData uri="http://schemas.microsoft.com/office/word/2010/wordprocessingShape">
                  <wps:wsp>
                    <wps:cNvCnPr/>
                    <wps:spPr>
                      <a:xfrm>
                        <a:off x="0" y="0"/>
                        <a:ext cx="6872438" cy="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7040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pt,12pt" to="51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" strokecolor="black [3213]" strokeweight="3.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0A555A"/>
    <w:lvl w:ilvl="0">
      <w:start w:val="1"/>
      <w:numFmt w:val="bullet"/>
      <w:pStyle w:val="List1Bullet"/>
      <w:lvlText w:val=""/>
      <w:lvlJc w:val="left"/>
      <w:pPr>
        <w:tabs>
          <w:tab w:val="num" w:pos="360"/>
        </w:tabs>
        <w:ind w:left="360" w:hanging="360"/>
      </w:pPr>
      <w:rPr>
        <w:rFonts w:ascii="Symbol" w:hAnsi="Symbol" w:hint="default"/>
      </w:rPr>
    </w:lvl>
  </w:abstractNum>
  <w:abstractNum w:abstractNumId="1" w15:restartNumberingAfterBreak="0">
    <w:nsid w:val="09774795"/>
    <w:multiLevelType w:val="hybridMultilevel"/>
    <w:tmpl w:val="79262F22"/>
    <w:lvl w:ilvl="0" w:tplc="058ADA5C">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463C"/>
    <w:multiLevelType w:val="hybridMultilevel"/>
    <w:tmpl w:val="D936AFEA"/>
    <w:lvl w:ilvl="0" w:tplc="C89A351C">
      <w:start w:val="3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E70D9"/>
    <w:multiLevelType w:val="multilevel"/>
    <w:tmpl w:val="0409001F"/>
    <w:styleLink w:val="BowmanProcedur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714F06"/>
    <w:multiLevelType w:val="hybridMultilevel"/>
    <w:tmpl w:val="DCD45A50"/>
    <w:lvl w:ilvl="0" w:tplc="2F2C2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129A9"/>
    <w:multiLevelType w:val="hybridMultilevel"/>
    <w:tmpl w:val="F64C64E4"/>
    <w:lvl w:ilvl="0" w:tplc="18DE6EF4">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477E5"/>
    <w:multiLevelType w:val="multilevel"/>
    <w:tmpl w:val="010EEF62"/>
    <w:lvl w:ilvl="0">
      <w:start w:val="1"/>
      <w:numFmt w:val="decimal"/>
      <w:lvlText w:val="%1)"/>
      <w:lvlJc w:val="left"/>
      <w:pPr>
        <w:tabs>
          <w:tab w:val="num" w:pos="360"/>
        </w:tabs>
        <w:ind w:left="360" w:hanging="360"/>
      </w:pPr>
      <w:rPr>
        <w:rFonts w:hint="default"/>
      </w:rPr>
    </w:lvl>
    <w:lvl w:ilvl="1">
      <w:start w:val="1"/>
      <w:numFmt w:val="lowerLetter"/>
      <w:pStyle w:val="StepNumbera"/>
      <w:lvlText w:val="%2)"/>
      <w:lvlJc w:val="left"/>
      <w:pPr>
        <w:tabs>
          <w:tab w:val="num" w:pos="720"/>
        </w:tabs>
        <w:ind w:left="720" w:hanging="360"/>
      </w:pPr>
      <w:rPr>
        <w:rFonts w:ascii="Arial" w:hAnsi="Arial" w:hint="default"/>
        <w:b w:val="0"/>
        <w:i w:val="0"/>
        <w:color w:val="auto"/>
        <w:sz w:val="20"/>
        <w:effect w:val="none"/>
      </w:rPr>
    </w:lvl>
    <w:lvl w:ilvl="2">
      <w:start w:val="1"/>
      <w:numFmt w:val="decimal"/>
      <w:pStyle w:val="StepNumber1"/>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43D03976"/>
    <w:multiLevelType w:val="hybridMultilevel"/>
    <w:tmpl w:val="05340CD0"/>
    <w:lvl w:ilvl="0" w:tplc="D5F8118A">
      <w:start w:val="1"/>
      <w:numFmt w:val="decimal"/>
      <w:pStyle w:val="StepNumber10"/>
      <w:lvlText w:val="%1."/>
      <w:lvlJc w:val="left"/>
      <w:pPr>
        <w:tabs>
          <w:tab w:val="num" w:pos="720"/>
        </w:tabs>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AB4BD9"/>
    <w:multiLevelType w:val="hybridMultilevel"/>
    <w:tmpl w:val="F6DCEDBC"/>
    <w:lvl w:ilvl="0" w:tplc="9356CACE">
      <w:start w:val="5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72497"/>
    <w:multiLevelType w:val="hybridMultilevel"/>
    <w:tmpl w:val="19540E56"/>
    <w:lvl w:ilvl="0" w:tplc="9FEE1528">
      <w:start w:val="1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F6EE5"/>
    <w:multiLevelType w:val="hybridMultilevel"/>
    <w:tmpl w:val="65CA97A8"/>
    <w:lvl w:ilvl="0" w:tplc="FEC2E750">
      <w:start w:val="2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D374A"/>
    <w:multiLevelType w:val="hybridMultilevel"/>
    <w:tmpl w:val="05FA9D58"/>
    <w:lvl w:ilvl="0" w:tplc="CCEE431C">
      <w:start w:val="1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A127B"/>
    <w:multiLevelType w:val="hybridMultilevel"/>
    <w:tmpl w:val="1C101132"/>
    <w:lvl w:ilvl="0" w:tplc="96C450A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710C6"/>
    <w:multiLevelType w:val="hybridMultilevel"/>
    <w:tmpl w:val="8042EC00"/>
    <w:lvl w:ilvl="0" w:tplc="3C7CE16E">
      <w:start w:val="1"/>
      <w:numFmt w:val="bullet"/>
      <w:pStyle w:val="List2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74529"/>
    <w:multiLevelType w:val="hybridMultilevel"/>
    <w:tmpl w:val="FEB4C8C6"/>
    <w:lvl w:ilvl="0" w:tplc="23946BB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63D58"/>
    <w:multiLevelType w:val="hybridMultilevel"/>
    <w:tmpl w:val="6E54ED38"/>
    <w:lvl w:ilvl="0" w:tplc="3350CF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3"/>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4"/>
  </w:num>
  <w:num w:numId="15">
    <w:abstractNumId w:val="15"/>
  </w:num>
  <w:num w:numId="16">
    <w:abstractNumId w:val="14"/>
  </w:num>
  <w:num w:numId="17">
    <w:abstractNumId w:val="12"/>
  </w:num>
  <w:num w:numId="18">
    <w:abstractNumId w:val="1"/>
  </w:num>
  <w:num w:numId="19">
    <w:abstractNumId w:val="5"/>
  </w:num>
  <w:num w:numId="20">
    <w:abstractNumId w:val="9"/>
  </w:num>
  <w:num w:numId="21">
    <w:abstractNumId w:val="10"/>
  </w:num>
  <w:num w:numId="22">
    <w:abstractNumId w:val="8"/>
  </w:num>
  <w:num w:numId="23">
    <w:abstractNumId w:val="11"/>
  </w:num>
  <w:num w:numId="24">
    <w:abstractNumId w:val="2"/>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6B"/>
    <w:rsid w:val="00006384"/>
    <w:rsid w:val="00012BEE"/>
    <w:rsid w:val="000151E4"/>
    <w:rsid w:val="000168BF"/>
    <w:rsid w:val="00030FF3"/>
    <w:rsid w:val="00073E5B"/>
    <w:rsid w:val="0007638E"/>
    <w:rsid w:val="00092810"/>
    <w:rsid w:val="000A088A"/>
    <w:rsid w:val="000A412B"/>
    <w:rsid w:val="000B025E"/>
    <w:rsid w:val="000B3174"/>
    <w:rsid w:val="000F166A"/>
    <w:rsid w:val="000F2C32"/>
    <w:rsid w:val="00100F97"/>
    <w:rsid w:val="00101F3E"/>
    <w:rsid w:val="0010675E"/>
    <w:rsid w:val="00110C98"/>
    <w:rsid w:val="00122846"/>
    <w:rsid w:val="001271EC"/>
    <w:rsid w:val="00143F85"/>
    <w:rsid w:val="00160EBA"/>
    <w:rsid w:val="00176E43"/>
    <w:rsid w:val="001A5233"/>
    <w:rsid w:val="001C5797"/>
    <w:rsid w:val="001D66B8"/>
    <w:rsid w:val="001D77A2"/>
    <w:rsid w:val="001D7BC6"/>
    <w:rsid w:val="001D7C60"/>
    <w:rsid w:val="001D7C6E"/>
    <w:rsid w:val="001E2EAE"/>
    <w:rsid w:val="001E5B2F"/>
    <w:rsid w:val="00211244"/>
    <w:rsid w:val="002378A0"/>
    <w:rsid w:val="002462C6"/>
    <w:rsid w:val="0024778D"/>
    <w:rsid w:val="00250DFB"/>
    <w:rsid w:val="00255AD5"/>
    <w:rsid w:val="002652E2"/>
    <w:rsid w:val="00272137"/>
    <w:rsid w:val="0028244B"/>
    <w:rsid w:val="00283189"/>
    <w:rsid w:val="002839BC"/>
    <w:rsid w:val="00291641"/>
    <w:rsid w:val="00295D6C"/>
    <w:rsid w:val="002A4624"/>
    <w:rsid w:val="002C0D51"/>
    <w:rsid w:val="002E2FB7"/>
    <w:rsid w:val="002F3186"/>
    <w:rsid w:val="00303742"/>
    <w:rsid w:val="00305B44"/>
    <w:rsid w:val="00305EB5"/>
    <w:rsid w:val="00313078"/>
    <w:rsid w:val="00316FB7"/>
    <w:rsid w:val="00332A91"/>
    <w:rsid w:val="0033474A"/>
    <w:rsid w:val="00347A0A"/>
    <w:rsid w:val="0035052D"/>
    <w:rsid w:val="00363036"/>
    <w:rsid w:val="00363F6B"/>
    <w:rsid w:val="00364E50"/>
    <w:rsid w:val="003661C7"/>
    <w:rsid w:val="003729A6"/>
    <w:rsid w:val="00385830"/>
    <w:rsid w:val="00394A74"/>
    <w:rsid w:val="003A675A"/>
    <w:rsid w:val="003B06A7"/>
    <w:rsid w:val="003B59AE"/>
    <w:rsid w:val="003D46A0"/>
    <w:rsid w:val="003D7DD3"/>
    <w:rsid w:val="003E10BE"/>
    <w:rsid w:val="003E6E5B"/>
    <w:rsid w:val="00400D0B"/>
    <w:rsid w:val="004138BD"/>
    <w:rsid w:val="00415B5E"/>
    <w:rsid w:val="004219FC"/>
    <w:rsid w:val="004230B4"/>
    <w:rsid w:val="004270DC"/>
    <w:rsid w:val="004353C3"/>
    <w:rsid w:val="004410FE"/>
    <w:rsid w:val="004515E6"/>
    <w:rsid w:val="00452458"/>
    <w:rsid w:val="004540C5"/>
    <w:rsid w:val="00464EB1"/>
    <w:rsid w:val="00464FB5"/>
    <w:rsid w:val="00466D81"/>
    <w:rsid w:val="004773B6"/>
    <w:rsid w:val="004854F6"/>
    <w:rsid w:val="00494327"/>
    <w:rsid w:val="004950A6"/>
    <w:rsid w:val="004A002D"/>
    <w:rsid w:val="004B61E4"/>
    <w:rsid w:val="004C4D83"/>
    <w:rsid w:val="004C5B9B"/>
    <w:rsid w:val="004C766C"/>
    <w:rsid w:val="004E4B9B"/>
    <w:rsid w:val="00501E05"/>
    <w:rsid w:val="00504261"/>
    <w:rsid w:val="00511921"/>
    <w:rsid w:val="005159CF"/>
    <w:rsid w:val="00527B3B"/>
    <w:rsid w:val="00530452"/>
    <w:rsid w:val="00530DA3"/>
    <w:rsid w:val="00532449"/>
    <w:rsid w:val="0054519D"/>
    <w:rsid w:val="0054725B"/>
    <w:rsid w:val="0054775C"/>
    <w:rsid w:val="00566B1B"/>
    <w:rsid w:val="005904C0"/>
    <w:rsid w:val="005A1563"/>
    <w:rsid w:val="005A482B"/>
    <w:rsid w:val="005B40F9"/>
    <w:rsid w:val="005B5F66"/>
    <w:rsid w:val="005C2C69"/>
    <w:rsid w:val="005C35F6"/>
    <w:rsid w:val="005C3B36"/>
    <w:rsid w:val="005D2549"/>
    <w:rsid w:val="005D7DA9"/>
    <w:rsid w:val="005E35C3"/>
    <w:rsid w:val="005E4B2B"/>
    <w:rsid w:val="005F0CD2"/>
    <w:rsid w:val="005F1EC0"/>
    <w:rsid w:val="005F4C59"/>
    <w:rsid w:val="005F62C6"/>
    <w:rsid w:val="00615DC0"/>
    <w:rsid w:val="00626524"/>
    <w:rsid w:val="00631F3F"/>
    <w:rsid w:val="00643802"/>
    <w:rsid w:val="00647972"/>
    <w:rsid w:val="0067390E"/>
    <w:rsid w:val="00690DE7"/>
    <w:rsid w:val="00697E35"/>
    <w:rsid w:val="006A566E"/>
    <w:rsid w:val="006A5B8C"/>
    <w:rsid w:val="006A5C35"/>
    <w:rsid w:val="006A7057"/>
    <w:rsid w:val="006B2E94"/>
    <w:rsid w:val="006B4F8F"/>
    <w:rsid w:val="006B5091"/>
    <w:rsid w:val="006B65DE"/>
    <w:rsid w:val="006C4F55"/>
    <w:rsid w:val="006D3497"/>
    <w:rsid w:val="006D4E86"/>
    <w:rsid w:val="006E46A9"/>
    <w:rsid w:val="00714BFA"/>
    <w:rsid w:val="00715BF6"/>
    <w:rsid w:val="0071623C"/>
    <w:rsid w:val="00717CDA"/>
    <w:rsid w:val="00741151"/>
    <w:rsid w:val="00741BCD"/>
    <w:rsid w:val="00756D82"/>
    <w:rsid w:val="00766242"/>
    <w:rsid w:val="00771C7E"/>
    <w:rsid w:val="00774297"/>
    <w:rsid w:val="00774CD3"/>
    <w:rsid w:val="00776963"/>
    <w:rsid w:val="00776F54"/>
    <w:rsid w:val="00785341"/>
    <w:rsid w:val="0079545C"/>
    <w:rsid w:val="007A14BF"/>
    <w:rsid w:val="007A6502"/>
    <w:rsid w:val="007B226E"/>
    <w:rsid w:val="007B23CB"/>
    <w:rsid w:val="007B7DB2"/>
    <w:rsid w:val="007C26E0"/>
    <w:rsid w:val="007C434D"/>
    <w:rsid w:val="007C4E18"/>
    <w:rsid w:val="007C7F52"/>
    <w:rsid w:val="007D602B"/>
    <w:rsid w:val="007F56CF"/>
    <w:rsid w:val="00815735"/>
    <w:rsid w:val="008219DB"/>
    <w:rsid w:val="00825165"/>
    <w:rsid w:val="00845720"/>
    <w:rsid w:val="008500CA"/>
    <w:rsid w:val="00851FB8"/>
    <w:rsid w:val="0086372F"/>
    <w:rsid w:val="008720FA"/>
    <w:rsid w:val="00884EE3"/>
    <w:rsid w:val="008A1270"/>
    <w:rsid w:val="008C194E"/>
    <w:rsid w:val="008C25F5"/>
    <w:rsid w:val="008C3B00"/>
    <w:rsid w:val="008D477E"/>
    <w:rsid w:val="008E75E0"/>
    <w:rsid w:val="009073B7"/>
    <w:rsid w:val="00916F11"/>
    <w:rsid w:val="00931847"/>
    <w:rsid w:val="0093362F"/>
    <w:rsid w:val="00941FDF"/>
    <w:rsid w:val="00971695"/>
    <w:rsid w:val="009805F1"/>
    <w:rsid w:val="00996B41"/>
    <w:rsid w:val="009976D3"/>
    <w:rsid w:val="009A630E"/>
    <w:rsid w:val="009C2DBC"/>
    <w:rsid w:val="009C6581"/>
    <w:rsid w:val="009C7200"/>
    <w:rsid w:val="009D37C6"/>
    <w:rsid w:val="009D7BCA"/>
    <w:rsid w:val="009E205E"/>
    <w:rsid w:val="009F188F"/>
    <w:rsid w:val="00A00D86"/>
    <w:rsid w:val="00A13F0D"/>
    <w:rsid w:val="00A232CA"/>
    <w:rsid w:val="00A4023D"/>
    <w:rsid w:val="00A46EA7"/>
    <w:rsid w:val="00A50249"/>
    <w:rsid w:val="00A713D7"/>
    <w:rsid w:val="00A739EC"/>
    <w:rsid w:val="00A85EFF"/>
    <w:rsid w:val="00AA6F96"/>
    <w:rsid w:val="00AB33E8"/>
    <w:rsid w:val="00AB4386"/>
    <w:rsid w:val="00AC51D9"/>
    <w:rsid w:val="00AC74AF"/>
    <w:rsid w:val="00AD1D05"/>
    <w:rsid w:val="00AE0DE0"/>
    <w:rsid w:val="00AE1680"/>
    <w:rsid w:val="00AE2975"/>
    <w:rsid w:val="00AF37B7"/>
    <w:rsid w:val="00AF5741"/>
    <w:rsid w:val="00B0159C"/>
    <w:rsid w:val="00B01817"/>
    <w:rsid w:val="00B43ECF"/>
    <w:rsid w:val="00B52146"/>
    <w:rsid w:val="00B56404"/>
    <w:rsid w:val="00B5658A"/>
    <w:rsid w:val="00B61E0B"/>
    <w:rsid w:val="00B7124E"/>
    <w:rsid w:val="00B72B07"/>
    <w:rsid w:val="00B8379C"/>
    <w:rsid w:val="00B91CB4"/>
    <w:rsid w:val="00BA7948"/>
    <w:rsid w:val="00BC5D83"/>
    <w:rsid w:val="00BD5FAF"/>
    <w:rsid w:val="00BE1037"/>
    <w:rsid w:val="00BE527D"/>
    <w:rsid w:val="00BF38E9"/>
    <w:rsid w:val="00BF6AD8"/>
    <w:rsid w:val="00C0433D"/>
    <w:rsid w:val="00C21B48"/>
    <w:rsid w:val="00C4115B"/>
    <w:rsid w:val="00C4515E"/>
    <w:rsid w:val="00C50228"/>
    <w:rsid w:val="00C51D6F"/>
    <w:rsid w:val="00C658E4"/>
    <w:rsid w:val="00C75292"/>
    <w:rsid w:val="00C767ED"/>
    <w:rsid w:val="00CA17A5"/>
    <w:rsid w:val="00CB69C8"/>
    <w:rsid w:val="00CC3F01"/>
    <w:rsid w:val="00CD28F7"/>
    <w:rsid w:val="00CD6B8C"/>
    <w:rsid w:val="00CE17E2"/>
    <w:rsid w:val="00CE1DFA"/>
    <w:rsid w:val="00CE3EBC"/>
    <w:rsid w:val="00D04F25"/>
    <w:rsid w:val="00D102D7"/>
    <w:rsid w:val="00D122DE"/>
    <w:rsid w:val="00D12C9D"/>
    <w:rsid w:val="00D249EC"/>
    <w:rsid w:val="00D25BA2"/>
    <w:rsid w:val="00D33E9A"/>
    <w:rsid w:val="00D35A1C"/>
    <w:rsid w:val="00D364B3"/>
    <w:rsid w:val="00D40EF8"/>
    <w:rsid w:val="00D4293A"/>
    <w:rsid w:val="00D50A8B"/>
    <w:rsid w:val="00D5770D"/>
    <w:rsid w:val="00D578AD"/>
    <w:rsid w:val="00D666A9"/>
    <w:rsid w:val="00D6781B"/>
    <w:rsid w:val="00D949D0"/>
    <w:rsid w:val="00D96603"/>
    <w:rsid w:val="00DD0B3C"/>
    <w:rsid w:val="00DD0DCB"/>
    <w:rsid w:val="00DD19F7"/>
    <w:rsid w:val="00DD2ADD"/>
    <w:rsid w:val="00DE0B38"/>
    <w:rsid w:val="00DE0C14"/>
    <w:rsid w:val="00DE23B6"/>
    <w:rsid w:val="00DE4260"/>
    <w:rsid w:val="00DF07BB"/>
    <w:rsid w:val="00DF7377"/>
    <w:rsid w:val="00E02740"/>
    <w:rsid w:val="00E112B4"/>
    <w:rsid w:val="00E1360B"/>
    <w:rsid w:val="00E14F7C"/>
    <w:rsid w:val="00E22C1B"/>
    <w:rsid w:val="00E342BB"/>
    <w:rsid w:val="00E37063"/>
    <w:rsid w:val="00E4436E"/>
    <w:rsid w:val="00E54837"/>
    <w:rsid w:val="00E56D34"/>
    <w:rsid w:val="00E600F7"/>
    <w:rsid w:val="00E606C9"/>
    <w:rsid w:val="00E6108C"/>
    <w:rsid w:val="00E73B73"/>
    <w:rsid w:val="00E773E2"/>
    <w:rsid w:val="00E7750A"/>
    <w:rsid w:val="00E823FB"/>
    <w:rsid w:val="00E9043D"/>
    <w:rsid w:val="00E92C85"/>
    <w:rsid w:val="00EA3F31"/>
    <w:rsid w:val="00EB5AFF"/>
    <w:rsid w:val="00EB6A5E"/>
    <w:rsid w:val="00EB772C"/>
    <w:rsid w:val="00EC5ABE"/>
    <w:rsid w:val="00EE0373"/>
    <w:rsid w:val="00EE47E5"/>
    <w:rsid w:val="00F16C45"/>
    <w:rsid w:val="00F23760"/>
    <w:rsid w:val="00F24907"/>
    <w:rsid w:val="00F264C0"/>
    <w:rsid w:val="00F32893"/>
    <w:rsid w:val="00F42FC1"/>
    <w:rsid w:val="00F443AE"/>
    <w:rsid w:val="00F533E4"/>
    <w:rsid w:val="00F66A50"/>
    <w:rsid w:val="00F7696B"/>
    <w:rsid w:val="00F806A5"/>
    <w:rsid w:val="00F81483"/>
    <w:rsid w:val="00F92086"/>
    <w:rsid w:val="00FA6150"/>
    <w:rsid w:val="00FC6B7C"/>
    <w:rsid w:val="00FD3E3D"/>
    <w:rsid w:val="00FD6E04"/>
    <w:rsid w:val="00FF02AF"/>
    <w:rsid w:val="00FF18AD"/>
    <w:rsid w:val="00FF23F6"/>
    <w:rsid w:val="00FF2FF8"/>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B0918E"/>
  <w15:docId w15:val="{35D15368-46F0-4ABE-9F8A-A857289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DE"/>
    <w:pPr>
      <w:spacing w:line="360" w:lineRule="auto"/>
    </w:pPr>
    <w:rPr>
      <w:rFonts w:ascii="Arial" w:hAnsi="Arial"/>
      <w:szCs w:val="24"/>
    </w:rPr>
  </w:style>
  <w:style w:type="paragraph" w:styleId="Heading1">
    <w:name w:val="heading 1"/>
    <w:basedOn w:val="Normal"/>
    <w:next w:val="Normal"/>
    <w:link w:val="Heading1Char"/>
    <w:uiPriority w:val="9"/>
    <w:rsid w:val="00295D6C"/>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rsid w:val="00295D6C"/>
    <w:pPr>
      <w:spacing w:before="200"/>
      <w:outlineLvl w:val="1"/>
    </w:pPr>
    <w:rPr>
      <w:rFonts w:ascii="Cambria" w:hAnsi="Cambria"/>
      <w:b/>
      <w:bCs/>
      <w:sz w:val="26"/>
      <w:szCs w:val="26"/>
    </w:rPr>
  </w:style>
  <w:style w:type="paragraph" w:styleId="Heading3">
    <w:name w:val="heading 3"/>
    <w:basedOn w:val="Normal"/>
    <w:next w:val="Normal"/>
    <w:link w:val="Heading3Char"/>
    <w:uiPriority w:val="9"/>
    <w:unhideWhenUsed/>
    <w:rsid w:val="00295D6C"/>
    <w:pPr>
      <w:spacing w:before="200" w:line="271" w:lineRule="auto"/>
      <w:outlineLvl w:val="2"/>
    </w:pPr>
    <w:rPr>
      <w:rFonts w:ascii="Cambria" w:hAnsi="Cambria"/>
      <w:b/>
      <w:bCs/>
    </w:rPr>
  </w:style>
  <w:style w:type="paragraph" w:styleId="Heading4">
    <w:name w:val="heading 4"/>
    <w:basedOn w:val="Normal"/>
    <w:next w:val="Normal"/>
    <w:link w:val="Heading4Char"/>
    <w:unhideWhenUsed/>
    <w:qFormat/>
    <w:rsid w:val="00295D6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95D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95D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D6C"/>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95D6C"/>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95D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5D6C"/>
    <w:rPr>
      <w:rFonts w:ascii="Cambria" w:eastAsia="Times New Roman" w:hAnsi="Cambria" w:cs="Times New Roman"/>
      <w:b/>
      <w:bCs/>
      <w:sz w:val="28"/>
      <w:szCs w:val="28"/>
    </w:rPr>
  </w:style>
  <w:style w:type="character" w:customStyle="1" w:styleId="Heading2Char">
    <w:name w:val="Heading 2 Char"/>
    <w:link w:val="Heading2"/>
    <w:uiPriority w:val="9"/>
    <w:rsid w:val="00295D6C"/>
    <w:rPr>
      <w:rFonts w:ascii="Cambria" w:eastAsia="Times New Roman" w:hAnsi="Cambria" w:cs="Times New Roman"/>
      <w:b/>
      <w:bCs/>
      <w:sz w:val="26"/>
      <w:szCs w:val="26"/>
    </w:rPr>
  </w:style>
  <w:style w:type="character" w:customStyle="1" w:styleId="Heading3Char">
    <w:name w:val="Heading 3 Char"/>
    <w:link w:val="Heading3"/>
    <w:uiPriority w:val="9"/>
    <w:rsid w:val="00295D6C"/>
    <w:rPr>
      <w:rFonts w:ascii="Cambria" w:eastAsia="Times New Roman" w:hAnsi="Cambria" w:cs="Times New Roman"/>
      <w:b/>
      <w:bCs/>
    </w:rPr>
  </w:style>
  <w:style w:type="character" w:customStyle="1" w:styleId="Heading4Char">
    <w:name w:val="Heading 4 Char"/>
    <w:link w:val="Heading4"/>
    <w:rsid w:val="00295D6C"/>
    <w:rPr>
      <w:rFonts w:ascii="Calibri" w:eastAsia="Times New Roman" w:hAnsi="Calibri" w:cs="Times New Roman"/>
      <w:b/>
      <w:bCs/>
      <w:sz w:val="28"/>
      <w:szCs w:val="28"/>
    </w:rPr>
  </w:style>
  <w:style w:type="character" w:customStyle="1" w:styleId="Heading5Char">
    <w:name w:val="Heading 5 Char"/>
    <w:link w:val="Heading5"/>
    <w:semiHidden/>
    <w:rsid w:val="00295D6C"/>
    <w:rPr>
      <w:rFonts w:ascii="Calibri" w:eastAsia="Times New Roman" w:hAnsi="Calibri" w:cs="Times New Roman"/>
      <w:b/>
      <w:bCs/>
      <w:i/>
      <w:iCs/>
      <w:sz w:val="26"/>
      <w:szCs w:val="26"/>
    </w:rPr>
  </w:style>
  <w:style w:type="character" w:customStyle="1" w:styleId="Heading6Char">
    <w:name w:val="Heading 6 Char"/>
    <w:link w:val="Heading6"/>
    <w:semiHidden/>
    <w:rsid w:val="00295D6C"/>
    <w:rPr>
      <w:rFonts w:ascii="Calibri" w:eastAsia="Times New Roman" w:hAnsi="Calibri" w:cs="Times New Roman"/>
      <w:b/>
      <w:bCs/>
      <w:sz w:val="22"/>
      <w:szCs w:val="22"/>
    </w:rPr>
  </w:style>
  <w:style w:type="character" w:customStyle="1" w:styleId="Heading7Char">
    <w:name w:val="Heading 7 Char"/>
    <w:link w:val="Heading7"/>
    <w:semiHidden/>
    <w:rsid w:val="00295D6C"/>
    <w:rPr>
      <w:rFonts w:ascii="Calibri" w:eastAsia="Times New Roman" w:hAnsi="Calibri" w:cs="Times New Roman"/>
      <w:sz w:val="24"/>
      <w:szCs w:val="24"/>
    </w:rPr>
  </w:style>
  <w:style w:type="character" w:customStyle="1" w:styleId="Heading8Char">
    <w:name w:val="Heading 8 Char"/>
    <w:link w:val="Heading8"/>
    <w:semiHidden/>
    <w:rsid w:val="00295D6C"/>
    <w:rPr>
      <w:rFonts w:ascii="Calibri" w:eastAsia="Times New Roman" w:hAnsi="Calibri" w:cs="Times New Roman"/>
      <w:i/>
      <w:iCs/>
      <w:sz w:val="24"/>
      <w:szCs w:val="24"/>
    </w:rPr>
  </w:style>
  <w:style w:type="character" w:customStyle="1" w:styleId="Heading9Char">
    <w:name w:val="Heading 9 Char"/>
    <w:link w:val="Heading9"/>
    <w:semiHidden/>
    <w:rsid w:val="00295D6C"/>
    <w:rPr>
      <w:rFonts w:ascii="Cambria" w:eastAsia="Times New Roman" w:hAnsi="Cambria" w:cs="Times New Roman"/>
      <w:sz w:val="22"/>
      <w:szCs w:val="22"/>
    </w:rPr>
  </w:style>
  <w:style w:type="paragraph" w:customStyle="1" w:styleId="StepNumber10">
    <w:name w:val="Step Number 1)"/>
    <w:basedOn w:val="Normal"/>
    <w:qFormat/>
    <w:rsid w:val="00176E43"/>
    <w:pPr>
      <w:numPr>
        <w:numId w:val="1"/>
      </w:numPr>
      <w:tabs>
        <w:tab w:val="clear" w:pos="720"/>
        <w:tab w:val="num" w:pos="0"/>
      </w:tabs>
      <w:overflowPunct w:val="0"/>
      <w:autoSpaceDE w:val="0"/>
      <w:autoSpaceDN w:val="0"/>
      <w:adjustRightInd w:val="0"/>
      <w:ind w:left="360"/>
      <w:textAlignment w:val="baseline"/>
    </w:pPr>
    <w:rPr>
      <w:rFonts w:cs="Arial"/>
      <w:szCs w:val="20"/>
    </w:rPr>
  </w:style>
  <w:style w:type="paragraph" w:customStyle="1" w:styleId="StepNumbera">
    <w:name w:val="Step Number a)"/>
    <w:basedOn w:val="Normal"/>
    <w:qFormat/>
    <w:rsid w:val="00295D6C"/>
    <w:pPr>
      <w:numPr>
        <w:ilvl w:val="1"/>
        <w:numId w:val="3"/>
      </w:numPr>
      <w:overflowPunct w:val="0"/>
      <w:autoSpaceDE w:val="0"/>
      <w:autoSpaceDN w:val="0"/>
      <w:adjustRightInd w:val="0"/>
      <w:textAlignment w:val="baseline"/>
    </w:pPr>
    <w:rPr>
      <w:szCs w:val="20"/>
    </w:rPr>
  </w:style>
  <w:style w:type="paragraph" w:customStyle="1" w:styleId="RouterStep">
    <w:name w:val="Router Step"/>
    <w:basedOn w:val="Normal"/>
    <w:next w:val="StepNumber10"/>
    <w:qFormat/>
    <w:rsid w:val="00D33E9A"/>
    <w:pPr>
      <w:keepNext/>
      <w:spacing w:before="60"/>
    </w:pPr>
    <w:rPr>
      <w:b/>
      <w:caps/>
    </w:rPr>
  </w:style>
  <w:style w:type="paragraph" w:styleId="TOC1">
    <w:name w:val="toc 1"/>
    <w:basedOn w:val="Normal"/>
    <w:next w:val="Normal"/>
    <w:autoRedefine/>
    <w:uiPriority w:val="39"/>
    <w:rsid w:val="00F92086"/>
    <w:pPr>
      <w:tabs>
        <w:tab w:val="right" w:leader="dot" w:pos="12240"/>
      </w:tabs>
      <w:spacing w:line="240" w:lineRule="auto"/>
      <w:ind w:left="-90"/>
    </w:pPr>
    <w:rPr>
      <w:color w:val="0000FF"/>
      <w:u w:val="words"/>
    </w:rPr>
  </w:style>
  <w:style w:type="paragraph" w:customStyle="1" w:styleId="StepNumber1">
    <w:name w:val="Step Number 1."/>
    <w:basedOn w:val="Normal"/>
    <w:qFormat/>
    <w:rsid w:val="00295D6C"/>
    <w:pPr>
      <w:numPr>
        <w:ilvl w:val="2"/>
        <w:numId w:val="3"/>
      </w:numPr>
    </w:pPr>
  </w:style>
  <w:style w:type="character" w:styleId="CommentReference">
    <w:name w:val="annotation reference"/>
    <w:uiPriority w:val="99"/>
    <w:semiHidden/>
    <w:rsid w:val="00C75292"/>
    <w:rPr>
      <w:sz w:val="16"/>
      <w:szCs w:val="16"/>
    </w:rPr>
  </w:style>
  <w:style w:type="paragraph" w:styleId="CommentText">
    <w:name w:val="annotation text"/>
    <w:basedOn w:val="Normal"/>
    <w:link w:val="CommentTextChar"/>
    <w:uiPriority w:val="99"/>
    <w:semiHidden/>
    <w:rsid w:val="00C75292"/>
    <w:rPr>
      <w:szCs w:val="20"/>
    </w:rPr>
  </w:style>
  <w:style w:type="paragraph" w:styleId="CommentSubject">
    <w:name w:val="annotation subject"/>
    <w:basedOn w:val="CommentText"/>
    <w:next w:val="CommentText"/>
    <w:semiHidden/>
    <w:rsid w:val="00C75292"/>
    <w:rPr>
      <w:b/>
      <w:bCs/>
    </w:rPr>
  </w:style>
  <w:style w:type="paragraph" w:styleId="BalloonText">
    <w:name w:val="Balloon Text"/>
    <w:basedOn w:val="Normal"/>
    <w:semiHidden/>
    <w:rsid w:val="00C75292"/>
    <w:rPr>
      <w:rFonts w:ascii="Tahoma" w:hAnsi="Tahoma" w:cs="Tahoma"/>
      <w:sz w:val="16"/>
      <w:szCs w:val="16"/>
    </w:rPr>
  </w:style>
  <w:style w:type="paragraph" w:styleId="Caption">
    <w:name w:val="caption"/>
    <w:basedOn w:val="Normal"/>
    <w:next w:val="Normal"/>
    <w:qFormat/>
    <w:rsid w:val="00295D6C"/>
    <w:rPr>
      <w:b/>
      <w:bCs/>
      <w:szCs w:val="20"/>
    </w:rPr>
  </w:style>
  <w:style w:type="paragraph" w:styleId="Header">
    <w:name w:val="header"/>
    <w:basedOn w:val="Normal"/>
    <w:rsid w:val="00631F3F"/>
    <w:pPr>
      <w:spacing w:line="240" w:lineRule="auto"/>
    </w:pPr>
  </w:style>
  <w:style w:type="paragraph" w:styleId="Footer">
    <w:name w:val="footer"/>
    <w:basedOn w:val="Normal"/>
    <w:rsid w:val="00E112B4"/>
    <w:pPr>
      <w:tabs>
        <w:tab w:val="center" w:pos="6480"/>
        <w:tab w:val="right" w:pos="13680"/>
      </w:tabs>
    </w:pPr>
  </w:style>
  <w:style w:type="paragraph" w:styleId="Title">
    <w:name w:val="Title"/>
    <w:basedOn w:val="Normal"/>
    <w:link w:val="TitleChar"/>
    <w:qFormat/>
    <w:rsid w:val="00295D6C"/>
    <w:pPr>
      <w:spacing w:line="240" w:lineRule="auto"/>
      <w:jc w:val="center"/>
      <w:outlineLvl w:val="0"/>
    </w:pPr>
    <w:rPr>
      <w:rFonts w:cs="Arial"/>
      <w:b/>
      <w:bCs/>
      <w:kern w:val="28"/>
      <w:sz w:val="32"/>
      <w:szCs w:val="32"/>
    </w:rPr>
  </w:style>
  <w:style w:type="character" w:customStyle="1" w:styleId="TitleChar">
    <w:name w:val="Title Char"/>
    <w:link w:val="Title"/>
    <w:rsid w:val="00295D6C"/>
    <w:rPr>
      <w:rFonts w:ascii="Arial" w:hAnsi="Arial" w:cs="Arial"/>
      <w:b/>
      <w:bCs/>
      <w:kern w:val="28"/>
      <w:sz w:val="32"/>
      <w:szCs w:val="32"/>
    </w:rPr>
  </w:style>
  <w:style w:type="paragraph" w:customStyle="1" w:styleId="Callouttext">
    <w:name w:val="Callout text"/>
    <w:basedOn w:val="Normal"/>
    <w:qFormat/>
    <w:rsid w:val="00295D6C"/>
    <w:pPr>
      <w:spacing w:line="240" w:lineRule="auto"/>
    </w:pPr>
    <w:rPr>
      <w:sz w:val="18"/>
      <w:szCs w:val="18"/>
    </w:rPr>
  </w:style>
  <w:style w:type="paragraph" w:customStyle="1" w:styleId="Tabletext">
    <w:name w:val="Table text"/>
    <w:basedOn w:val="Normal"/>
    <w:qFormat/>
    <w:rsid w:val="00295D6C"/>
    <w:pPr>
      <w:spacing w:line="240" w:lineRule="auto"/>
    </w:pPr>
    <w:rPr>
      <w:rFonts w:cs="Arial"/>
    </w:rPr>
  </w:style>
  <w:style w:type="character" w:styleId="FollowedHyperlink">
    <w:name w:val="FollowedHyperlink"/>
    <w:rsid w:val="00AF5741"/>
    <w:rPr>
      <w:color w:val="800080"/>
      <w:u w:val="single"/>
    </w:rPr>
  </w:style>
  <w:style w:type="paragraph" w:customStyle="1" w:styleId="List1Bullet">
    <w:name w:val="List 1 Bullet"/>
    <w:basedOn w:val="Normal"/>
    <w:qFormat/>
    <w:rsid w:val="00B01817"/>
    <w:pPr>
      <w:numPr>
        <w:numId w:val="2"/>
      </w:numPr>
    </w:pPr>
  </w:style>
  <w:style w:type="paragraph" w:customStyle="1" w:styleId="RouterLastStep">
    <w:name w:val="Router Last Step"/>
    <w:basedOn w:val="RouterStep"/>
    <w:next w:val="StepNumber10"/>
    <w:qFormat/>
    <w:rsid w:val="00295D6C"/>
  </w:style>
  <w:style w:type="character" w:customStyle="1" w:styleId="X-ref">
    <w:name w:val="X-ref"/>
    <w:qFormat/>
    <w:rsid w:val="0024778D"/>
    <w:rPr>
      <w:color w:val="0000FF"/>
      <w:u w:val="single"/>
    </w:rPr>
  </w:style>
  <w:style w:type="paragraph" w:styleId="TOC2">
    <w:name w:val="toc 2"/>
    <w:basedOn w:val="TOC1"/>
    <w:next w:val="Normal"/>
    <w:autoRedefine/>
    <w:uiPriority w:val="39"/>
    <w:rsid w:val="00717CDA"/>
    <w:pPr>
      <w:pBdr>
        <w:bottom w:val="single" w:sz="12" w:space="1" w:color="auto"/>
        <w:between w:val="single" w:sz="12" w:space="1" w:color="auto"/>
      </w:pBdr>
    </w:pPr>
  </w:style>
  <w:style w:type="paragraph" w:styleId="NoSpacing">
    <w:name w:val="No Spacing"/>
    <w:basedOn w:val="Normal"/>
    <w:uiPriority w:val="1"/>
    <w:rsid w:val="00295D6C"/>
    <w:pPr>
      <w:spacing w:line="240" w:lineRule="auto"/>
    </w:pPr>
  </w:style>
  <w:style w:type="paragraph" w:styleId="TOCHeading">
    <w:name w:val="TOC Heading"/>
    <w:basedOn w:val="Heading1"/>
    <w:next w:val="Normal"/>
    <w:uiPriority w:val="39"/>
    <w:semiHidden/>
    <w:unhideWhenUsed/>
    <w:qFormat/>
    <w:rsid w:val="00295D6C"/>
    <w:pPr>
      <w:keepNext/>
      <w:spacing w:before="240" w:after="60"/>
      <w:contextualSpacing w:val="0"/>
      <w:outlineLvl w:val="9"/>
    </w:pPr>
    <w:rPr>
      <w:kern w:val="32"/>
      <w:sz w:val="32"/>
      <w:szCs w:val="32"/>
    </w:rPr>
  </w:style>
  <w:style w:type="table" w:styleId="TableGrid">
    <w:name w:val="Table Grid"/>
    <w:basedOn w:val="TableNormal"/>
    <w:rsid w:val="009C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3B7"/>
    <w:rPr>
      <w:color w:val="808080"/>
    </w:rPr>
  </w:style>
  <w:style w:type="paragraph" w:customStyle="1" w:styleId="List2Bullet">
    <w:name w:val="List 2 Bullet"/>
    <w:basedOn w:val="Normal"/>
    <w:qFormat/>
    <w:rsid w:val="00B01817"/>
    <w:pPr>
      <w:numPr>
        <w:numId w:val="4"/>
      </w:numPr>
    </w:pPr>
  </w:style>
  <w:style w:type="character" w:styleId="Hyperlink">
    <w:name w:val="Hyperlink"/>
    <w:basedOn w:val="DefaultParagraphFont"/>
    <w:uiPriority w:val="99"/>
    <w:unhideWhenUsed/>
    <w:rsid w:val="00BA7948"/>
    <w:rPr>
      <w:color w:val="0000FF" w:themeColor="hyperlink"/>
      <w:u w:val="single"/>
    </w:rPr>
  </w:style>
  <w:style w:type="character" w:customStyle="1" w:styleId="CommentTextChar">
    <w:name w:val="Comment Text Char"/>
    <w:basedOn w:val="DefaultParagraphFont"/>
    <w:link w:val="CommentText"/>
    <w:uiPriority w:val="99"/>
    <w:semiHidden/>
    <w:rsid w:val="00D33E9A"/>
    <w:rPr>
      <w:rFonts w:ascii="Arial" w:hAnsi="Arial"/>
    </w:rPr>
  </w:style>
  <w:style w:type="paragraph" w:styleId="ListParagraph">
    <w:name w:val="List Paragraph"/>
    <w:basedOn w:val="Normal"/>
    <w:uiPriority w:val="34"/>
    <w:qFormat/>
    <w:rsid w:val="006B5091"/>
    <w:pPr>
      <w:spacing w:line="240" w:lineRule="auto"/>
      <w:ind w:left="720"/>
    </w:pPr>
    <w:rPr>
      <w:rFonts w:ascii="Calibri" w:eastAsia="Calibri" w:hAnsi="Calibri"/>
      <w:sz w:val="22"/>
      <w:szCs w:val="22"/>
    </w:rPr>
  </w:style>
  <w:style w:type="paragraph" w:customStyle="1" w:styleId="BodyText1">
    <w:name w:val="Body Text 1"/>
    <w:basedOn w:val="Normal"/>
    <w:qFormat/>
    <w:rsid w:val="00A46EA7"/>
    <w:pPr>
      <w:overflowPunct w:val="0"/>
      <w:autoSpaceDE w:val="0"/>
      <w:autoSpaceDN w:val="0"/>
      <w:adjustRightInd w:val="0"/>
      <w:spacing w:after="120" w:line="240" w:lineRule="auto"/>
      <w:textAlignment w:val="baseline"/>
    </w:pPr>
    <w:rPr>
      <w:rFonts w:ascii="Times New Roman" w:hAnsi="Times New Roman"/>
      <w:sz w:val="24"/>
      <w:szCs w:val="20"/>
    </w:rPr>
  </w:style>
  <w:style w:type="paragraph" w:styleId="BodyText">
    <w:name w:val="Body Text"/>
    <w:basedOn w:val="Normal"/>
    <w:link w:val="BodyTextChar"/>
    <w:semiHidden/>
    <w:unhideWhenUsed/>
    <w:rsid w:val="00303742"/>
    <w:pPr>
      <w:spacing w:after="120"/>
    </w:pPr>
  </w:style>
  <w:style w:type="character" w:customStyle="1" w:styleId="BodyTextChar">
    <w:name w:val="Body Text Char"/>
    <w:basedOn w:val="DefaultParagraphFont"/>
    <w:link w:val="BodyText"/>
    <w:semiHidden/>
    <w:rsid w:val="00303742"/>
    <w:rPr>
      <w:rFonts w:ascii="Arial" w:hAnsi="Arial"/>
      <w:szCs w:val="24"/>
    </w:rPr>
  </w:style>
  <w:style w:type="numbering" w:customStyle="1" w:styleId="BowmanProcedure">
    <w:name w:val="Bowman Procedure"/>
    <w:uiPriority w:val="99"/>
    <w:rsid w:val="00FF600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www.pcb.com/../images/Pcbhdr.gif" TargetMode="External"/><Relationship Id="rId2" Type="http://schemas.openxmlformats.org/officeDocument/2006/relationships/image" Target="media/image3.png"/><Relationship Id="rId1" Type="http://schemas.openxmlformats.org/officeDocument/2006/relationships/hyperlink" Target="http://www.pcb.com/" TargetMode="External"/><Relationship Id="rId6" Type="http://schemas.openxmlformats.org/officeDocument/2006/relationships/image" Target="http://mypcb.pcb.com/images/tcs_hover.gif" TargetMode="External"/><Relationship Id="rId5" Type="http://schemas.openxmlformats.org/officeDocument/2006/relationships/image" Target="media/image4.png"/><Relationship Id="rId4" Type="http://schemas.openxmlformats.org/officeDocument/2006/relationships/hyperlink" Target="http://mypcb.pcb.com/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9E96F-405F-401A-ACA6-CDDCA2CA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3187</Words>
  <Characters>18167</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1)</vt:lpstr>
    </vt:vector>
  </TitlesOfParts>
  <Company>PCB Piezotronics</Company>
  <LinksUpToDate>false</LinksUpToDate>
  <CharactersWithSpaces>21312</CharactersWithSpaces>
  <SharedDoc>false</SharedDoc>
  <HLinks>
    <vt:vector size="24" baseType="variant">
      <vt:variant>
        <vt:i4>1703987</vt:i4>
      </vt:variant>
      <vt:variant>
        <vt:i4>8</vt:i4>
      </vt:variant>
      <vt:variant>
        <vt:i4>0</vt:i4>
      </vt:variant>
      <vt:variant>
        <vt:i4>5</vt:i4>
      </vt:variant>
      <vt:variant>
        <vt:lpwstr/>
      </vt:variant>
      <vt:variant>
        <vt:lpwstr>_Toc360182887</vt:lpwstr>
      </vt:variant>
      <vt:variant>
        <vt:i4>1703987</vt:i4>
      </vt:variant>
      <vt:variant>
        <vt:i4>2</vt:i4>
      </vt:variant>
      <vt:variant>
        <vt:i4>0</vt:i4>
      </vt:variant>
      <vt:variant>
        <vt:i4>5</vt:i4>
      </vt:variant>
      <vt:variant>
        <vt:lpwstr/>
      </vt:variant>
      <vt:variant>
        <vt:lpwstr>_Toc360182886</vt:lpwstr>
      </vt:variant>
      <vt:variant>
        <vt:i4>3604594</vt:i4>
      </vt:variant>
      <vt:variant>
        <vt:i4>0</vt:i4>
      </vt:variant>
      <vt:variant>
        <vt:i4>0</vt:i4>
      </vt:variant>
      <vt:variant>
        <vt:i4>5</vt:i4>
      </vt:variant>
      <vt:variant>
        <vt:lpwstr>http://www.pcb.com/</vt:lpwstr>
      </vt:variant>
      <vt:variant>
        <vt:lpwstr/>
      </vt:variant>
      <vt:variant>
        <vt:i4>8257583</vt:i4>
      </vt:variant>
      <vt:variant>
        <vt:i4>20754</vt:i4>
      </vt:variant>
      <vt:variant>
        <vt:i4>1026</vt:i4>
      </vt:variant>
      <vt:variant>
        <vt:i4>1</vt:i4>
      </vt:variant>
      <vt:variant>
        <vt:lpwstr>http://www.pcb.com/../images/Pcbhdr.gif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mceglinski</dc:creator>
  <cp:lastModifiedBy>Christopher  Kopra</cp:lastModifiedBy>
  <cp:revision>2</cp:revision>
  <cp:lastPrinted>2021-02-25T20:08:00Z</cp:lastPrinted>
  <dcterms:created xsi:type="dcterms:W3CDTF">2021-04-06T17:28:00Z</dcterms:created>
  <dcterms:modified xsi:type="dcterms:W3CDTF">2021-04-06T17:28:00Z</dcterms:modified>
</cp:coreProperties>
</file>