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37" w:rsidRDefault="007A4737" w:rsidP="00EC31A9">
      <w:pPr>
        <w:rPr>
          <w:sz w:val="24"/>
          <w:szCs w:val="24"/>
        </w:rPr>
      </w:pPr>
      <w:r>
        <w:rPr>
          <w:sz w:val="24"/>
          <w:szCs w:val="24"/>
        </w:rPr>
        <w:t>Procedure:</w:t>
      </w:r>
    </w:p>
    <w:p w:rsidR="00083B43" w:rsidRDefault="00083B43" w:rsidP="00EC31A9">
      <w:pPr>
        <w:rPr>
          <w:sz w:val="24"/>
          <w:szCs w:val="24"/>
        </w:rPr>
      </w:pPr>
    </w:p>
    <w:p w:rsidR="007A4737" w:rsidRDefault="007A4737" w:rsidP="007A4737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Select 10 s</w:t>
      </w:r>
      <w:r w:rsidR="00517EB7">
        <w:rPr>
          <w:sz w:val="24"/>
          <w:szCs w:val="24"/>
        </w:rPr>
        <w:t xml:space="preserve">amples </w:t>
      </w:r>
      <w:r>
        <w:rPr>
          <w:sz w:val="24"/>
          <w:szCs w:val="24"/>
        </w:rPr>
        <w:t>from the job and mov</w:t>
      </w:r>
      <w:r w:rsidR="00444D95">
        <w:rPr>
          <w:sz w:val="24"/>
          <w:szCs w:val="24"/>
        </w:rPr>
        <w:t xml:space="preserve">e them to a </w:t>
      </w:r>
      <w:r w:rsidR="00517EB7">
        <w:rPr>
          <w:sz w:val="24"/>
          <w:szCs w:val="24"/>
        </w:rPr>
        <w:t>plastic petri dish marked with the job and operation number.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7A4737" w:rsidRDefault="00517EB7" w:rsidP="007A4737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r w:rsidR="00C61B91">
        <w:rPr>
          <w:sz w:val="24"/>
          <w:szCs w:val="24"/>
        </w:rPr>
        <w:t xml:space="preserve">the electrode </w:t>
      </w:r>
      <w:r>
        <w:rPr>
          <w:sz w:val="24"/>
          <w:szCs w:val="24"/>
        </w:rPr>
        <w:t xml:space="preserve">from </w:t>
      </w:r>
      <w:r w:rsidR="00C61B91">
        <w:rPr>
          <w:sz w:val="24"/>
          <w:szCs w:val="24"/>
        </w:rPr>
        <w:t xml:space="preserve">the top and bottom surfaces.  This </w:t>
      </w:r>
      <w:r>
        <w:rPr>
          <w:sz w:val="24"/>
          <w:szCs w:val="24"/>
        </w:rPr>
        <w:t xml:space="preserve">is </w:t>
      </w:r>
      <w:r w:rsidR="00C61B91">
        <w:rPr>
          <w:sz w:val="24"/>
          <w:szCs w:val="24"/>
        </w:rPr>
        <w:t xml:space="preserve">done manually using 400-grit </w:t>
      </w:r>
      <w:proofErr w:type="spellStart"/>
      <w:r w:rsidR="00C61B91">
        <w:rPr>
          <w:sz w:val="24"/>
          <w:szCs w:val="24"/>
        </w:rPr>
        <w:t>SiC</w:t>
      </w:r>
      <w:proofErr w:type="spellEnd"/>
      <w:r>
        <w:rPr>
          <w:sz w:val="24"/>
          <w:szCs w:val="24"/>
        </w:rPr>
        <w:t xml:space="preserve"> </w:t>
      </w:r>
      <w:r w:rsidR="00C61B91">
        <w:rPr>
          <w:sz w:val="24"/>
          <w:szCs w:val="24"/>
        </w:rPr>
        <w:t xml:space="preserve">abrasive </w:t>
      </w:r>
      <w:r w:rsidR="00C61B91" w:rsidRPr="007652EC">
        <w:rPr>
          <w:sz w:val="24"/>
          <w:szCs w:val="24"/>
        </w:rPr>
        <w:t>paper</w:t>
      </w:r>
      <w:r w:rsidR="002708E9" w:rsidRPr="007652EC">
        <w:rPr>
          <w:sz w:val="24"/>
          <w:szCs w:val="24"/>
        </w:rPr>
        <w:t xml:space="preserve"> along with the fixture and gage pin specified on the Router</w:t>
      </w:r>
      <w:r w:rsidR="00C61B91" w:rsidRPr="007652EC">
        <w:rPr>
          <w:sz w:val="24"/>
          <w:szCs w:val="24"/>
        </w:rPr>
        <w:t>.</w:t>
      </w:r>
      <w:r w:rsidR="00466DD1" w:rsidRPr="007652EC">
        <w:rPr>
          <w:sz w:val="24"/>
          <w:szCs w:val="24"/>
        </w:rPr>
        <w:t xml:space="preserve">  Be ca</w:t>
      </w:r>
      <w:r w:rsidRPr="007652EC">
        <w:rPr>
          <w:sz w:val="24"/>
          <w:szCs w:val="24"/>
        </w:rPr>
        <w:t xml:space="preserve">reful </w:t>
      </w:r>
      <w:r w:rsidR="00466DD1" w:rsidRPr="007652EC">
        <w:rPr>
          <w:sz w:val="24"/>
          <w:szCs w:val="24"/>
        </w:rPr>
        <w:t>n</w:t>
      </w:r>
      <w:r w:rsidR="00466DD1">
        <w:rPr>
          <w:sz w:val="24"/>
          <w:szCs w:val="24"/>
        </w:rPr>
        <w:t>ot to remove too much material, only enough to strip off the electrode.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083B43" w:rsidRDefault="00517EB7" w:rsidP="008E4E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Create a </w:t>
      </w:r>
      <w:r w:rsidR="008E4ED8">
        <w:rPr>
          <w:sz w:val="24"/>
          <w:szCs w:val="24"/>
        </w:rPr>
        <w:t xml:space="preserve">new version of </w:t>
      </w:r>
      <w:r>
        <w:rPr>
          <w:sz w:val="24"/>
          <w:szCs w:val="24"/>
        </w:rPr>
        <w:t>worksheet CR</w:t>
      </w:r>
      <w:r w:rsidR="00EF2D29">
        <w:rPr>
          <w:sz w:val="24"/>
          <w:szCs w:val="24"/>
        </w:rPr>
        <w:t>038</w:t>
      </w:r>
      <w:r w:rsidR="008E4ED8">
        <w:rPr>
          <w:sz w:val="24"/>
          <w:szCs w:val="24"/>
        </w:rPr>
        <w:t>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8E4ED8" w:rsidRDefault="009A62C6" w:rsidP="008E4E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Select the correct crystal part number from the drop-down list</w:t>
      </w:r>
      <w:r w:rsidR="002820F3">
        <w:rPr>
          <w:sz w:val="24"/>
          <w:szCs w:val="24"/>
        </w:rPr>
        <w:t xml:space="preserve"> </w:t>
      </w:r>
      <w:r w:rsidR="002820F3">
        <w:rPr>
          <w:color w:val="FF0000"/>
          <w:sz w:val="24"/>
          <w:szCs w:val="24"/>
        </w:rPr>
        <w:t>and enter the job number by scanning the barcode.</w:t>
      </w:r>
    </w:p>
    <w:p w:rsidR="00466DD1" w:rsidRDefault="00466DD1" w:rsidP="00466DD1">
      <w:pPr>
        <w:ind w:left="720"/>
        <w:rPr>
          <w:sz w:val="24"/>
          <w:szCs w:val="24"/>
        </w:rPr>
      </w:pPr>
    </w:p>
    <w:p w:rsidR="00466DD1" w:rsidRDefault="00466DD1" w:rsidP="00466DD1">
      <w:pPr>
        <w:ind w:left="720"/>
        <w:rPr>
          <w:sz w:val="24"/>
          <w:szCs w:val="24"/>
        </w:rPr>
      </w:pPr>
      <w:r>
        <w:rPr>
          <w:sz w:val="24"/>
          <w:szCs w:val="24"/>
        </w:rPr>
        <w:t>NOTE: During the following testing process</w:t>
      </w:r>
      <w:r w:rsidR="002E0A69">
        <w:rPr>
          <w:sz w:val="24"/>
          <w:szCs w:val="24"/>
        </w:rPr>
        <w:t xml:space="preserve"> it is important to </w:t>
      </w:r>
      <w:r>
        <w:rPr>
          <w:sz w:val="24"/>
          <w:szCs w:val="24"/>
        </w:rPr>
        <w:t>maintain serialization of the parts</w:t>
      </w:r>
      <w:r w:rsidR="002E0A69">
        <w:rPr>
          <w:sz w:val="24"/>
          <w:szCs w:val="24"/>
        </w:rPr>
        <w:t>.  Capacitance and thickness should be measured on the 10 samples in the same order.  Lining the samples up on a sheet of paper and numbering next to them will assist this process.</w:t>
      </w:r>
    </w:p>
    <w:p w:rsidR="00466DD1" w:rsidRDefault="00466DD1" w:rsidP="00466DD1">
      <w:pPr>
        <w:ind w:left="720"/>
        <w:rPr>
          <w:sz w:val="24"/>
          <w:szCs w:val="24"/>
        </w:rPr>
      </w:pPr>
    </w:p>
    <w:p w:rsidR="00444D95" w:rsidRDefault="00466DD1" w:rsidP="007A4737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Test the Capacitance of the specimens using the </w:t>
      </w:r>
      <w:proofErr w:type="spellStart"/>
      <w:r>
        <w:rPr>
          <w:sz w:val="24"/>
          <w:szCs w:val="24"/>
        </w:rPr>
        <w:t>Aglient</w:t>
      </w:r>
      <w:proofErr w:type="spellEnd"/>
      <w:r>
        <w:rPr>
          <w:sz w:val="24"/>
          <w:szCs w:val="24"/>
        </w:rPr>
        <w:t xml:space="preserve"> LCR meter</w:t>
      </w:r>
      <w:r w:rsidR="00083B43">
        <w:rPr>
          <w:sz w:val="24"/>
          <w:szCs w:val="24"/>
        </w:rPr>
        <w:t xml:space="preserve"> and record the data on the worksheet</w:t>
      </w:r>
      <w:r>
        <w:rPr>
          <w:sz w:val="24"/>
          <w:szCs w:val="24"/>
        </w:rPr>
        <w:t>.</w:t>
      </w:r>
      <w:r w:rsidR="00444D95">
        <w:rPr>
          <w:sz w:val="24"/>
          <w:szCs w:val="24"/>
        </w:rPr>
        <w:t xml:space="preserve">  </w:t>
      </w:r>
      <w:r w:rsidR="00083B43">
        <w:rPr>
          <w:sz w:val="24"/>
          <w:szCs w:val="24"/>
        </w:rPr>
        <w:t xml:space="preserve">This can be done electronically using a custom LabVIEW program or manually.  </w:t>
      </w:r>
      <w:r w:rsidR="00444D95">
        <w:rPr>
          <w:sz w:val="24"/>
          <w:szCs w:val="24"/>
        </w:rPr>
        <w:t>Reference CR1040 for more information.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444D95" w:rsidRDefault="00444D95" w:rsidP="007A4737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Test the Thickness of the specimens using </w:t>
      </w:r>
      <w:proofErr w:type="spellStart"/>
      <w:r>
        <w:rPr>
          <w:sz w:val="24"/>
          <w:szCs w:val="24"/>
        </w:rPr>
        <w:t>Mitutoyo</w:t>
      </w:r>
      <w:proofErr w:type="spellEnd"/>
      <w:r>
        <w:rPr>
          <w:sz w:val="24"/>
          <w:szCs w:val="24"/>
        </w:rPr>
        <w:t xml:space="preserve"> micrometers</w:t>
      </w:r>
      <w:r w:rsidR="00083B43">
        <w:rPr>
          <w:sz w:val="24"/>
          <w:szCs w:val="24"/>
        </w:rPr>
        <w:t xml:space="preserve"> and record the data on the worksheet</w:t>
      </w:r>
      <w:r>
        <w:rPr>
          <w:sz w:val="24"/>
          <w:szCs w:val="24"/>
        </w:rPr>
        <w:t>.</w:t>
      </w:r>
      <w:r w:rsidR="00083B43">
        <w:rPr>
          <w:sz w:val="24"/>
          <w:szCs w:val="24"/>
        </w:rPr>
        <w:t xml:space="preserve">  This can be done electronically using wired micrometers or manually.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2E0A69" w:rsidRDefault="00444D95" w:rsidP="00517EB7">
      <w:pPr>
        <w:numPr>
          <w:ilvl w:val="0"/>
          <w:numId w:val="11"/>
        </w:numPr>
        <w:rPr>
          <w:sz w:val="24"/>
          <w:szCs w:val="24"/>
        </w:rPr>
      </w:pPr>
      <w:r w:rsidRPr="008E4ED8">
        <w:rPr>
          <w:sz w:val="24"/>
          <w:szCs w:val="24"/>
        </w:rPr>
        <w:t>S</w:t>
      </w:r>
      <w:r w:rsidR="008E4ED8" w:rsidRPr="008E4ED8">
        <w:rPr>
          <w:sz w:val="24"/>
          <w:szCs w:val="24"/>
        </w:rPr>
        <w:t>ave the worksheet</w:t>
      </w:r>
      <w:r w:rsidR="00517EB7">
        <w:rPr>
          <w:sz w:val="24"/>
          <w:szCs w:val="24"/>
        </w:rPr>
        <w:t xml:space="preserve"> in network folder “R:\Crystals\Test Data\Thickness Calculations”</w:t>
      </w:r>
      <w:r w:rsidR="008E4ED8" w:rsidRPr="008E4ED8">
        <w:rPr>
          <w:sz w:val="24"/>
          <w:szCs w:val="24"/>
        </w:rPr>
        <w:t>, naming it using the Job Order.  This can be done by scanning the barcode</w:t>
      </w:r>
      <w:r w:rsidR="008E4ED8">
        <w:rPr>
          <w:sz w:val="24"/>
          <w:szCs w:val="24"/>
        </w:rPr>
        <w:t xml:space="preserve"> or manually.</w:t>
      </w:r>
    </w:p>
    <w:p w:rsidR="002E0A69" w:rsidRDefault="002E0A69" w:rsidP="002E0A69">
      <w:pPr>
        <w:ind w:left="720"/>
        <w:rPr>
          <w:sz w:val="24"/>
          <w:szCs w:val="24"/>
        </w:rPr>
      </w:pPr>
    </w:p>
    <w:p w:rsidR="008E4ED8" w:rsidRDefault="002E0A69" w:rsidP="002E0A6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Example - </w:t>
      </w:r>
      <w:r w:rsidR="00517EB7" w:rsidRPr="00517EB7">
        <w:rPr>
          <w:sz w:val="24"/>
          <w:szCs w:val="24"/>
        </w:rPr>
        <w:t>R:\Crystals\Test Data\Thickness Calculations</w:t>
      </w:r>
      <w:r w:rsidR="00517EB7">
        <w:rPr>
          <w:sz w:val="24"/>
          <w:szCs w:val="24"/>
        </w:rPr>
        <w:t>\CR6297.xlsx</w:t>
      </w:r>
    </w:p>
    <w:p w:rsidR="00083B43" w:rsidRPr="00FE10EF" w:rsidRDefault="00083B43" w:rsidP="00083B43">
      <w:pPr>
        <w:ind w:left="720"/>
        <w:rPr>
          <w:sz w:val="24"/>
          <w:szCs w:val="24"/>
        </w:rPr>
      </w:pPr>
    </w:p>
    <w:p w:rsidR="002820F3" w:rsidRPr="002820F3" w:rsidRDefault="008E4ED8" w:rsidP="002820F3">
      <w:pPr>
        <w:numPr>
          <w:ilvl w:val="0"/>
          <w:numId w:val="11"/>
        </w:numPr>
        <w:rPr>
          <w:sz w:val="24"/>
          <w:szCs w:val="24"/>
        </w:rPr>
      </w:pPr>
      <w:r w:rsidRPr="00FE10EF">
        <w:rPr>
          <w:sz w:val="24"/>
          <w:szCs w:val="24"/>
        </w:rPr>
        <w:t xml:space="preserve">The worksheet will automatically calculate the appropriate </w:t>
      </w:r>
      <w:r w:rsidR="003F3458" w:rsidRPr="00FE10EF">
        <w:rPr>
          <w:sz w:val="24"/>
          <w:szCs w:val="24"/>
        </w:rPr>
        <w:t>thickness target</w:t>
      </w:r>
      <w:r w:rsidRPr="00FE10EF">
        <w:rPr>
          <w:sz w:val="24"/>
          <w:szCs w:val="24"/>
        </w:rPr>
        <w:t xml:space="preserve"> </w:t>
      </w:r>
      <w:r w:rsidR="00083B43" w:rsidRPr="00FE10EF">
        <w:rPr>
          <w:sz w:val="24"/>
          <w:szCs w:val="24"/>
        </w:rPr>
        <w:t>based on the measured capacitance/thickness ratio of the parts</w:t>
      </w:r>
      <w:r w:rsidR="00D63BF4" w:rsidRPr="00FE10EF">
        <w:rPr>
          <w:sz w:val="24"/>
          <w:szCs w:val="24"/>
        </w:rPr>
        <w:t>.</w:t>
      </w:r>
      <w:bookmarkStart w:id="0" w:name="_GoBack"/>
      <w:bookmarkEnd w:id="0"/>
    </w:p>
    <w:p w:rsidR="00083B43" w:rsidRPr="00FE10EF" w:rsidRDefault="00083B43" w:rsidP="00083B43">
      <w:pPr>
        <w:ind w:left="720"/>
        <w:rPr>
          <w:sz w:val="24"/>
          <w:szCs w:val="24"/>
        </w:rPr>
      </w:pPr>
    </w:p>
    <w:p w:rsidR="003F3458" w:rsidRPr="00FE10EF" w:rsidRDefault="006E715A" w:rsidP="007A4737">
      <w:pPr>
        <w:numPr>
          <w:ilvl w:val="0"/>
          <w:numId w:val="11"/>
        </w:numPr>
        <w:rPr>
          <w:sz w:val="24"/>
          <w:szCs w:val="24"/>
        </w:rPr>
      </w:pPr>
      <w:r w:rsidRPr="00FE10EF">
        <w:rPr>
          <w:sz w:val="24"/>
          <w:szCs w:val="24"/>
        </w:rPr>
        <w:t>Print a copy of this worksheet and add it to the job paperwork.</w:t>
      </w:r>
    </w:p>
    <w:p w:rsidR="00112947" w:rsidRPr="00FE10EF" w:rsidRDefault="00112947" w:rsidP="00112947">
      <w:pPr>
        <w:ind w:left="720"/>
        <w:rPr>
          <w:sz w:val="24"/>
          <w:szCs w:val="24"/>
        </w:rPr>
      </w:pPr>
    </w:p>
    <w:p w:rsidR="00112947" w:rsidRPr="00FE10EF" w:rsidRDefault="00112947" w:rsidP="007A4737">
      <w:pPr>
        <w:numPr>
          <w:ilvl w:val="0"/>
          <w:numId w:val="11"/>
        </w:numPr>
        <w:rPr>
          <w:sz w:val="24"/>
          <w:szCs w:val="24"/>
        </w:rPr>
      </w:pPr>
      <w:r w:rsidRPr="00FE10EF">
        <w:rPr>
          <w:sz w:val="24"/>
          <w:szCs w:val="24"/>
        </w:rPr>
        <w:t>Save and close the worksheet.</w:t>
      </w:r>
    </w:p>
    <w:p w:rsidR="00083B43" w:rsidRDefault="00083B43" w:rsidP="00083B43">
      <w:pPr>
        <w:ind w:left="720"/>
        <w:rPr>
          <w:sz w:val="24"/>
          <w:szCs w:val="24"/>
        </w:rPr>
      </w:pPr>
    </w:p>
    <w:p w:rsidR="002C6E26" w:rsidRDefault="00FE10EF" w:rsidP="003A6D29">
      <w:pPr>
        <w:numPr>
          <w:ilvl w:val="0"/>
          <w:numId w:val="11"/>
        </w:numPr>
        <w:rPr>
          <w:color w:val="FF0000"/>
          <w:sz w:val="24"/>
          <w:szCs w:val="24"/>
        </w:rPr>
      </w:pPr>
      <w:r w:rsidRPr="001043BA">
        <w:rPr>
          <w:color w:val="FF0000"/>
          <w:sz w:val="24"/>
          <w:szCs w:val="24"/>
        </w:rPr>
        <w:t xml:space="preserve">Look at the </w:t>
      </w:r>
      <w:r w:rsidR="001043BA" w:rsidRPr="001043BA">
        <w:rPr>
          <w:color w:val="FF0000"/>
          <w:sz w:val="24"/>
          <w:szCs w:val="24"/>
        </w:rPr>
        <w:t>notes field</w:t>
      </w:r>
      <w:r w:rsidR="002C6E26">
        <w:rPr>
          <w:color w:val="FF0000"/>
          <w:sz w:val="24"/>
          <w:szCs w:val="24"/>
        </w:rPr>
        <w:t xml:space="preserve"> on the worksheet</w:t>
      </w:r>
      <w:r w:rsidR="001043BA" w:rsidRPr="001043BA">
        <w:rPr>
          <w:color w:val="FF0000"/>
          <w:sz w:val="24"/>
          <w:szCs w:val="24"/>
        </w:rPr>
        <w:t>.  If the calculation predicts there may be failures, a note w</w:t>
      </w:r>
      <w:r w:rsidR="002C6E26">
        <w:rPr>
          <w:color w:val="FF0000"/>
          <w:sz w:val="24"/>
          <w:szCs w:val="24"/>
        </w:rPr>
        <w:t>ill</w:t>
      </w:r>
      <w:r w:rsidR="001043BA" w:rsidRPr="001043BA">
        <w:rPr>
          <w:color w:val="FF0000"/>
          <w:sz w:val="24"/>
          <w:szCs w:val="24"/>
        </w:rPr>
        <w:t xml:space="preserve"> appear indicating the job needs to be 100% tested.  M</w:t>
      </w:r>
      <w:r w:rsidRPr="001043BA">
        <w:rPr>
          <w:color w:val="FF0000"/>
          <w:sz w:val="24"/>
          <w:szCs w:val="24"/>
        </w:rPr>
        <w:t xml:space="preserve">ove the job to the </w:t>
      </w:r>
      <w:r w:rsidR="002C6E26">
        <w:rPr>
          <w:color w:val="FF0000"/>
          <w:sz w:val="24"/>
          <w:szCs w:val="24"/>
        </w:rPr>
        <w:t xml:space="preserve">Engineering Hold </w:t>
      </w:r>
      <w:r w:rsidRPr="001043BA">
        <w:rPr>
          <w:color w:val="FF0000"/>
          <w:sz w:val="24"/>
          <w:szCs w:val="24"/>
        </w:rPr>
        <w:t xml:space="preserve">Shelf and notify your Supervisor, Engineer, or </w:t>
      </w:r>
      <w:proofErr w:type="spellStart"/>
      <w:r w:rsidRPr="001043BA">
        <w:rPr>
          <w:color w:val="FF0000"/>
          <w:sz w:val="24"/>
          <w:szCs w:val="24"/>
        </w:rPr>
        <w:t>Leadperson</w:t>
      </w:r>
      <w:proofErr w:type="spellEnd"/>
      <w:r w:rsidRPr="001043BA">
        <w:rPr>
          <w:color w:val="FF0000"/>
          <w:sz w:val="24"/>
          <w:szCs w:val="24"/>
        </w:rPr>
        <w:t>.</w:t>
      </w:r>
      <w:r w:rsidR="001043BA" w:rsidRPr="001043BA">
        <w:rPr>
          <w:color w:val="FF0000"/>
          <w:sz w:val="24"/>
          <w:szCs w:val="24"/>
        </w:rPr>
        <w:t xml:space="preserve">  </w:t>
      </w:r>
    </w:p>
    <w:p w:rsidR="002C6E26" w:rsidRDefault="002C6E26" w:rsidP="002C6E26">
      <w:pPr>
        <w:pStyle w:val="ListParagraph"/>
        <w:rPr>
          <w:color w:val="FF0000"/>
          <w:sz w:val="24"/>
          <w:szCs w:val="24"/>
        </w:rPr>
      </w:pPr>
    </w:p>
    <w:p w:rsidR="00466DD1" w:rsidRPr="002C6E26" w:rsidRDefault="002C6E26" w:rsidP="003A6D29">
      <w:pPr>
        <w:numPr>
          <w:ilvl w:val="0"/>
          <w:numId w:val="1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If no error note appears,</w:t>
      </w:r>
      <w:r w:rsidR="001043BA" w:rsidRPr="002C6E26">
        <w:rPr>
          <w:sz w:val="24"/>
          <w:szCs w:val="24"/>
        </w:rPr>
        <w:t xml:space="preserve"> r</w:t>
      </w:r>
      <w:r w:rsidR="003F3458" w:rsidRPr="002C6E26">
        <w:rPr>
          <w:sz w:val="24"/>
          <w:szCs w:val="24"/>
        </w:rPr>
        <w:t>eturn the 10 s</w:t>
      </w:r>
      <w:r w:rsidR="00517EB7" w:rsidRPr="002C6E26">
        <w:rPr>
          <w:sz w:val="24"/>
          <w:szCs w:val="24"/>
        </w:rPr>
        <w:t>amples</w:t>
      </w:r>
      <w:r w:rsidR="003F3458" w:rsidRPr="002C6E26">
        <w:rPr>
          <w:sz w:val="24"/>
          <w:szCs w:val="24"/>
        </w:rPr>
        <w:t xml:space="preserve"> to the rest of the crystal lot and move the entire job on to the next operation.</w:t>
      </w:r>
    </w:p>
    <w:sectPr w:rsidR="00466DD1" w:rsidRPr="002C6E26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7A" w:rsidRDefault="009D387A">
      <w:r>
        <w:separator/>
      </w:r>
    </w:p>
  </w:endnote>
  <w:endnote w:type="continuationSeparator" w:id="0">
    <w:p w:rsidR="009D387A" w:rsidRDefault="009D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3F3458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3F3458" w:rsidRPr="00E05D4D" w:rsidRDefault="003F3458" w:rsidP="00E05D4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3F3458" w:rsidRPr="00E05D4D" w:rsidRDefault="003F3458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3F3458" w:rsidRDefault="003F3458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:rsidR="003F3458" w:rsidRPr="00E05D4D" w:rsidRDefault="003F3458" w:rsidP="004004D2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</w:t>
          </w:r>
          <w:r w:rsidR="004004D2">
            <w:rPr>
              <w:rFonts w:ascii="Arial" w:hAnsi="Arial" w:cs="Arial"/>
              <w:sz w:val="16"/>
              <w:szCs w:val="16"/>
            </w:rPr>
            <w:t>1057</w:t>
          </w:r>
        </w:p>
      </w:tc>
    </w:tr>
    <w:tr w:rsidR="003F3458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3F3458" w:rsidRPr="00E05D4D" w:rsidRDefault="003F3458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3F3458" w:rsidRPr="00E05D4D" w:rsidRDefault="003F3458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5D4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20F3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20F3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:rsidR="003F3458" w:rsidRPr="008005D3" w:rsidRDefault="003F3458" w:rsidP="002708E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rev</w:t>
          </w:r>
          <w:r w:rsidR="007652EC">
            <w:rPr>
              <w:rFonts w:ascii="Arial" w:hAnsi="Arial" w:cs="Arial"/>
              <w:color w:val="FF0000"/>
              <w:sz w:val="16"/>
              <w:szCs w:val="16"/>
            </w:rPr>
            <w:t>D</w:t>
          </w:r>
          <w:proofErr w:type="spellEnd"/>
        </w:p>
      </w:tc>
    </w:tr>
  </w:tbl>
  <w:p w:rsidR="003F3458" w:rsidRPr="006B663F" w:rsidRDefault="003F3458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7A" w:rsidRDefault="009D387A">
      <w:r>
        <w:separator/>
      </w:r>
    </w:p>
  </w:footnote>
  <w:footnote w:type="continuationSeparator" w:id="0">
    <w:p w:rsidR="009D387A" w:rsidRDefault="009D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58" w:rsidRDefault="00534837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458" w:rsidRDefault="003F3458" w:rsidP="00895072">
    <w:pPr>
      <w:rPr>
        <w:rFonts w:ascii="Arial" w:hAnsi="Arial"/>
        <w:sz w:val="28"/>
      </w:rPr>
    </w:pPr>
  </w:p>
  <w:p w:rsidR="003F3458" w:rsidRDefault="003F3458" w:rsidP="006C2FD8">
    <w:pPr>
      <w:jc w:val="center"/>
      <w:rPr>
        <w:rFonts w:ascii="Arial" w:hAnsi="Arial"/>
        <w:sz w:val="28"/>
      </w:rPr>
    </w:pPr>
  </w:p>
  <w:p w:rsidR="003F3458" w:rsidRDefault="003F3458" w:rsidP="006C2FD8">
    <w:pPr>
      <w:jc w:val="center"/>
      <w:rPr>
        <w:rFonts w:ascii="Arial" w:hAnsi="Arial"/>
        <w:sz w:val="28"/>
      </w:rPr>
    </w:pPr>
  </w:p>
  <w:p w:rsidR="003F3458" w:rsidRPr="0040115D" w:rsidRDefault="003F3458" w:rsidP="00B8683E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Final Thickness Determination for Shear Tube Crystals </w:t>
    </w:r>
    <w:r w:rsidRPr="006C2FD8">
      <w:rPr>
        <w:rFonts w:ascii="Arial" w:hAnsi="Arial"/>
        <w:sz w:val="28"/>
      </w:rPr>
      <w:t xml:space="preserve"> </w:t>
    </w:r>
  </w:p>
  <w:p w:rsidR="003F3458" w:rsidRPr="00FA50E8" w:rsidRDefault="003F3458" w:rsidP="006C2FD8">
    <w:pPr>
      <w:jc w:val="center"/>
      <w:rPr>
        <w:rFonts w:ascii="Arial" w:hAnsi="Arial"/>
        <w:b/>
      </w:rPr>
    </w:pPr>
  </w:p>
  <w:p w:rsidR="003F3458" w:rsidRDefault="003F3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19D"/>
    <w:multiLevelType w:val="hybridMultilevel"/>
    <w:tmpl w:val="C4AC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3E47"/>
    <w:rsid w:val="00083B43"/>
    <w:rsid w:val="000B48F6"/>
    <w:rsid w:val="000E3BBF"/>
    <w:rsid w:val="000F105A"/>
    <w:rsid w:val="001043BA"/>
    <w:rsid w:val="00112947"/>
    <w:rsid w:val="00115C69"/>
    <w:rsid w:val="00186F41"/>
    <w:rsid w:val="001D699F"/>
    <w:rsid w:val="001F0696"/>
    <w:rsid w:val="0020547D"/>
    <w:rsid w:val="00220EFC"/>
    <w:rsid w:val="0022518E"/>
    <w:rsid w:val="002603D0"/>
    <w:rsid w:val="002708E9"/>
    <w:rsid w:val="00273E0E"/>
    <w:rsid w:val="00273ECE"/>
    <w:rsid w:val="002820F3"/>
    <w:rsid w:val="002A2E02"/>
    <w:rsid w:val="002C6E26"/>
    <w:rsid w:val="002E0A69"/>
    <w:rsid w:val="0030710F"/>
    <w:rsid w:val="00311C66"/>
    <w:rsid w:val="00330870"/>
    <w:rsid w:val="00336957"/>
    <w:rsid w:val="00367B08"/>
    <w:rsid w:val="003D1065"/>
    <w:rsid w:val="003F3458"/>
    <w:rsid w:val="004004D2"/>
    <w:rsid w:val="004313F1"/>
    <w:rsid w:val="0044305A"/>
    <w:rsid w:val="00444D95"/>
    <w:rsid w:val="00466DD1"/>
    <w:rsid w:val="004670F7"/>
    <w:rsid w:val="004B3295"/>
    <w:rsid w:val="004D350D"/>
    <w:rsid w:val="00514FD9"/>
    <w:rsid w:val="00517EB7"/>
    <w:rsid w:val="00534837"/>
    <w:rsid w:val="005651D4"/>
    <w:rsid w:val="00591DA1"/>
    <w:rsid w:val="005B6DF3"/>
    <w:rsid w:val="005E245A"/>
    <w:rsid w:val="00631461"/>
    <w:rsid w:val="006435C0"/>
    <w:rsid w:val="0068393B"/>
    <w:rsid w:val="006A0208"/>
    <w:rsid w:val="006B663F"/>
    <w:rsid w:val="006C2FD8"/>
    <w:rsid w:val="006C43AC"/>
    <w:rsid w:val="006C67C4"/>
    <w:rsid w:val="006D29DB"/>
    <w:rsid w:val="006D40EC"/>
    <w:rsid w:val="006E715A"/>
    <w:rsid w:val="00742BE0"/>
    <w:rsid w:val="007652EC"/>
    <w:rsid w:val="007771A2"/>
    <w:rsid w:val="00781599"/>
    <w:rsid w:val="007A4737"/>
    <w:rsid w:val="007C75BB"/>
    <w:rsid w:val="007D2CD2"/>
    <w:rsid w:val="007F1782"/>
    <w:rsid w:val="008005D3"/>
    <w:rsid w:val="008841BA"/>
    <w:rsid w:val="00895072"/>
    <w:rsid w:val="008A0677"/>
    <w:rsid w:val="008C4817"/>
    <w:rsid w:val="008E4ED8"/>
    <w:rsid w:val="008F6F80"/>
    <w:rsid w:val="00900D64"/>
    <w:rsid w:val="00977D29"/>
    <w:rsid w:val="00991C41"/>
    <w:rsid w:val="009A62C6"/>
    <w:rsid w:val="009C7C6B"/>
    <w:rsid w:val="009D387A"/>
    <w:rsid w:val="00A25E93"/>
    <w:rsid w:val="00A46EF4"/>
    <w:rsid w:val="00A6329F"/>
    <w:rsid w:val="00A70206"/>
    <w:rsid w:val="00AB30F6"/>
    <w:rsid w:val="00AB3410"/>
    <w:rsid w:val="00AE41BA"/>
    <w:rsid w:val="00B059E4"/>
    <w:rsid w:val="00B12465"/>
    <w:rsid w:val="00B273F4"/>
    <w:rsid w:val="00B63CF4"/>
    <w:rsid w:val="00B8683E"/>
    <w:rsid w:val="00BB4667"/>
    <w:rsid w:val="00BE1EE0"/>
    <w:rsid w:val="00BF0CC6"/>
    <w:rsid w:val="00C0309C"/>
    <w:rsid w:val="00C22072"/>
    <w:rsid w:val="00C348DA"/>
    <w:rsid w:val="00C53EA6"/>
    <w:rsid w:val="00C61B91"/>
    <w:rsid w:val="00C700F2"/>
    <w:rsid w:val="00CA0DC1"/>
    <w:rsid w:val="00CA694F"/>
    <w:rsid w:val="00CC345D"/>
    <w:rsid w:val="00CD2070"/>
    <w:rsid w:val="00D04DF5"/>
    <w:rsid w:val="00D26E66"/>
    <w:rsid w:val="00D50011"/>
    <w:rsid w:val="00D63BF4"/>
    <w:rsid w:val="00D91357"/>
    <w:rsid w:val="00E05D4D"/>
    <w:rsid w:val="00E3677A"/>
    <w:rsid w:val="00E52623"/>
    <w:rsid w:val="00E935C3"/>
    <w:rsid w:val="00E95538"/>
    <w:rsid w:val="00E962F9"/>
    <w:rsid w:val="00EA5B7E"/>
    <w:rsid w:val="00EB65E9"/>
    <w:rsid w:val="00EC31A9"/>
    <w:rsid w:val="00ED494A"/>
    <w:rsid w:val="00EF2D29"/>
    <w:rsid w:val="00F50333"/>
    <w:rsid w:val="00F53273"/>
    <w:rsid w:val="00F63CCA"/>
    <w:rsid w:val="00F67121"/>
    <w:rsid w:val="00FA50E8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780D36"/>
  <w15:docId w15:val="{24FA3585-32F1-49CD-9474-6F10C46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Caption">
    <w:name w:val="caption"/>
    <w:basedOn w:val="Normal"/>
    <w:next w:val="Normal"/>
    <w:unhideWhenUsed/>
    <w:qFormat/>
    <w:rsid w:val="00BE1EE0"/>
    <w:rPr>
      <w:b/>
      <w:bCs/>
    </w:rPr>
  </w:style>
  <w:style w:type="paragraph" w:styleId="ListParagraph">
    <w:name w:val="List Paragraph"/>
    <w:basedOn w:val="Normal"/>
    <w:uiPriority w:val="34"/>
    <w:qFormat/>
    <w:rsid w:val="00FE10E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A6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b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ypcb.pcb.com/tcs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8CC3-5C47-4736-B493-8749DE9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25</TotalTime>
  <Pages>1</Pages>
  <Words>347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2071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dbowman</dc:creator>
  <cp:keywords>template SOP</cp:keywords>
  <cp:lastModifiedBy>David Bowman</cp:lastModifiedBy>
  <cp:revision>8</cp:revision>
  <cp:lastPrinted>2019-03-04T16:19:00Z</cp:lastPrinted>
  <dcterms:created xsi:type="dcterms:W3CDTF">2019-03-04T15:39:00Z</dcterms:created>
  <dcterms:modified xsi:type="dcterms:W3CDTF">2019-03-05T20:59:00Z</dcterms:modified>
</cp:coreProperties>
</file>