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02" w:rsidRDefault="00951BA4" w:rsidP="00737BFA">
      <w:pPr>
        <w:pStyle w:val="Heading1"/>
        <w:numPr>
          <w:ilvl w:val="0"/>
          <w:numId w:val="16"/>
        </w:numPr>
      </w:pPr>
      <w:r>
        <w:t>Purpose</w:t>
      </w:r>
    </w:p>
    <w:p w:rsidR="00951BA4" w:rsidRDefault="00951BA4" w:rsidP="00737BFA">
      <w:pPr>
        <w:ind w:left="360"/>
      </w:pPr>
      <w:r>
        <w:t xml:space="preserve">The purpose of this document is to describe the process for poling and cleaning </w:t>
      </w:r>
      <w:r w:rsidR="00387202">
        <w:t xml:space="preserve">ceramic </w:t>
      </w:r>
      <w:r>
        <w:t>crystal</w:t>
      </w:r>
      <w:r w:rsidR="009C280B">
        <w:t>s</w:t>
      </w:r>
      <w:r>
        <w:t xml:space="preserve"> using the immersion circulator baths</w:t>
      </w:r>
      <w:r w:rsidR="00387202">
        <w:t xml:space="preserve"> and pc board fixtures</w:t>
      </w:r>
      <w:r>
        <w:t>.</w:t>
      </w:r>
    </w:p>
    <w:p w:rsidR="00951BA4" w:rsidRDefault="00951BA4" w:rsidP="00737BFA">
      <w:pPr>
        <w:pStyle w:val="Heading1"/>
        <w:numPr>
          <w:ilvl w:val="0"/>
          <w:numId w:val="16"/>
        </w:numPr>
      </w:pPr>
      <w:r>
        <w:t>Responsibilities</w:t>
      </w:r>
    </w:p>
    <w:p w:rsidR="00951BA4" w:rsidRDefault="00951BA4" w:rsidP="00737BFA">
      <w:pPr>
        <w:ind w:left="360"/>
      </w:pPr>
      <w:r>
        <w:t>It is the responsibility of Crystals Engineering to maintain this document.</w:t>
      </w:r>
    </w:p>
    <w:p w:rsidR="00951BA4" w:rsidRDefault="00951BA4" w:rsidP="00737BFA">
      <w:pPr>
        <w:ind w:left="360"/>
      </w:pPr>
      <w:r>
        <w:t>It is the responsibility of Crystals Production to execute this process.</w:t>
      </w:r>
    </w:p>
    <w:p w:rsidR="00951BA4" w:rsidRDefault="00951BA4" w:rsidP="00737BFA">
      <w:pPr>
        <w:pStyle w:val="Heading1"/>
        <w:numPr>
          <w:ilvl w:val="0"/>
          <w:numId w:val="16"/>
        </w:numPr>
      </w:pPr>
      <w:r>
        <w:t>Associated Documents</w:t>
      </w:r>
    </w:p>
    <w:p w:rsidR="00951BA4" w:rsidRDefault="00951BA4" w:rsidP="00737BFA">
      <w:pPr>
        <w:ind w:left="360"/>
      </w:pPr>
      <w:r>
        <w:t>ISO9001, QAM, QSM, AS9100</w:t>
      </w:r>
    </w:p>
    <w:p w:rsidR="00951BA4" w:rsidRDefault="00951BA4" w:rsidP="00737BFA">
      <w:pPr>
        <w:pStyle w:val="Heading1"/>
        <w:numPr>
          <w:ilvl w:val="0"/>
          <w:numId w:val="16"/>
        </w:numPr>
      </w:pPr>
      <w:r>
        <w:t>Safety Precautions</w:t>
      </w:r>
    </w:p>
    <w:p w:rsidR="00C203A5" w:rsidRDefault="00C203A5" w:rsidP="00737BFA">
      <w:pPr>
        <w:pStyle w:val="Heading2"/>
        <w:numPr>
          <w:ilvl w:val="1"/>
          <w:numId w:val="16"/>
        </w:numPr>
      </w:pPr>
      <w:r>
        <w:t>Heated Oil Baths</w:t>
      </w:r>
    </w:p>
    <w:p w:rsidR="00C203A5" w:rsidRPr="00C203A5" w:rsidRDefault="00C203A5" w:rsidP="00737BFA">
      <w:pPr>
        <w:ind w:left="360"/>
      </w:pPr>
      <w:r w:rsidRPr="00C203A5">
        <w:t xml:space="preserve">The poling boxes are filled with </w:t>
      </w:r>
      <w:r>
        <w:t>poling</w:t>
      </w:r>
      <w:r w:rsidRPr="00C203A5">
        <w:t xml:space="preserve"> oil that is heated to </w:t>
      </w:r>
      <w:r w:rsidR="005B1098">
        <w:t xml:space="preserve">over </w:t>
      </w:r>
      <w:r>
        <w:t>100</w:t>
      </w:r>
      <w:r w:rsidRPr="00C203A5">
        <w:t>°</w:t>
      </w:r>
      <w:r>
        <w:t>C,</w:t>
      </w:r>
      <w:r w:rsidRPr="00C203A5">
        <w:t xml:space="preserve"> so caution must be used to prevent burns.</w:t>
      </w:r>
      <w:r w:rsidR="008C56DA">
        <w:t xml:space="preserve">  </w:t>
      </w:r>
      <w:r w:rsidR="008C56DA" w:rsidRPr="00C203A5">
        <w:t>S</w:t>
      </w:r>
      <w:r w:rsidR="008C56DA">
        <w:t>afety glasses</w:t>
      </w:r>
      <w:r w:rsidR="008C56DA" w:rsidRPr="00C203A5">
        <w:t xml:space="preserve"> and nitrile gloves must be worn while working with this </w:t>
      </w:r>
      <w:r w:rsidR="008C56DA">
        <w:t>equipment</w:t>
      </w:r>
      <w:r w:rsidR="008C56DA" w:rsidRPr="00C203A5">
        <w:t>.</w:t>
      </w:r>
      <w:r w:rsidR="008C56DA">
        <w:t xml:space="preserve">  </w:t>
      </w:r>
    </w:p>
    <w:p w:rsidR="00C203A5" w:rsidRDefault="00C203A5" w:rsidP="00737BFA">
      <w:pPr>
        <w:pStyle w:val="Heading2"/>
        <w:numPr>
          <w:ilvl w:val="1"/>
          <w:numId w:val="16"/>
        </w:numPr>
      </w:pPr>
      <w:r>
        <w:t>High Voltage</w:t>
      </w:r>
    </w:p>
    <w:p w:rsidR="00C203A5" w:rsidRPr="00C203A5" w:rsidRDefault="00C203A5" w:rsidP="00737BFA">
      <w:pPr>
        <w:ind w:left="360"/>
      </w:pPr>
      <w:r w:rsidRPr="00C203A5">
        <w:t>The poling process requires the application of high DC voltage to the crystals.  Voltages at 10kV DC are common and some crystals may require even higher voltages.  Care must be taken to avoid</w:t>
      </w:r>
      <w:r w:rsidR="002C6B64">
        <w:t xml:space="preserve"> electrical shock. Power supply output</w:t>
      </w:r>
      <w:r w:rsidRPr="00C203A5">
        <w:t>s must be turned off before loading and unloading poling boxes.</w:t>
      </w:r>
    </w:p>
    <w:p w:rsidR="00C203A5" w:rsidRDefault="00C203A5" w:rsidP="00737BFA">
      <w:pPr>
        <w:pStyle w:val="Heading2"/>
        <w:numPr>
          <w:ilvl w:val="1"/>
          <w:numId w:val="16"/>
        </w:numPr>
      </w:pPr>
      <w:r>
        <w:t>Heated Solvent</w:t>
      </w:r>
    </w:p>
    <w:p w:rsidR="00C203A5" w:rsidRPr="00C203A5" w:rsidRDefault="00C203A5" w:rsidP="00737BFA">
      <w:pPr>
        <w:ind w:left="360"/>
      </w:pPr>
      <w:r w:rsidRPr="00C203A5">
        <w:t>The vapors of solvents such a</w:t>
      </w:r>
      <w:r w:rsidR="005B1098">
        <w:t xml:space="preserve">s </w:t>
      </w:r>
      <w:proofErr w:type="spellStart"/>
      <w:r w:rsidR="005B1098">
        <w:t>lenium</w:t>
      </w:r>
      <w:proofErr w:type="spellEnd"/>
      <w:r w:rsidR="005B1098">
        <w:t xml:space="preserve"> should not be inhaled.</w:t>
      </w:r>
    </w:p>
    <w:p w:rsidR="00C203A5" w:rsidRDefault="00C203A5" w:rsidP="00737BFA">
      <w:pPr>
        <w:pStyle w:val="Heading2"/>
        <w:numPr>
          <w:ilvl w:val="1"/>
          <w:numId w:val="16"/>
        </w:numPr>
      </w:pPr>
      <w:r>
        <w:t xml:space="preserve">Charged </w:t>
      </w:r>
      <w:proofErr w:type="spellStart"/>
      <w:r>
        <w:t>Piezoelectrics</w:t>
      </w:r>
      <w:proofErr w:type="spellEnd"/>
    </w:p>
    <w:p w:rsidR="00C203A5" w:rsidRPr="00C203A5" w:rsidRDefault="00C203A5" w:rsidP="00737BFA">
      <w:pPr>
        <w:ind w:left="360"/>
      </w:pPr>
      <w:r w:rsidRPr="00C203A5">
        <w:t xml:space="preserve">The crystals </w:t>
      </w:r>
      <w:r w:rsidR="002C6B64">
        <w:t xml:space="preserve">will generate a static charge as they cool from both the poling and cleaning processes.  Care must be taken when handling these crystals to either short </w:t>
      </w:r>
      <w:proofErr w:type="gramStart"/>
      <w:r w:rsidR="002C6B64">
        <w:t>them</w:t>
      </w:r>
      <w:proofErr w:type="gramEnd"/>
      <w:r w:rsidR="002C6B64">
        <w:t xml:space="preserve"> using metal tweezers, or handle them with gloved hands to prevent an electrical discharge.</w:t>
      </w:r>
      <w:r w:rsidR="00BB320D">
        <w:t xml:space="preserve">  This might either shock the person handling the parts, or ignite nearby flammable solvents.</w:t>
      </w:r>
    </w:p>
    <w:p w:rsidR="00951BA4" w:rsidRDefault="00951BA4" w:rsidP="00737BFA">
      <w:pPr>
        <w:pStyle w:val="Heading1"/>
        <w:numPr>
          <w:ilvl w:val="0"/>
          <w:numId w:val="16"/>
        </w:numPr>
      </w:pPr>
      <w:r>
        <w:t>Materials and Equipment</w:t>
      </w:r>
    </w:p>
    <w:p w:rsidR="00DB077C" w:rsidRDefault="00DB077C" w:rsidP="00737BFA">
      <w:pPr>
        <w:pStyle w:val="Heading2"/>
        <w:numPr>
          <w:ilvl w:val="1"/>
          <w:numId w:val="16"/>
        </w:numPr>
      </w:pPr>
      <w:r>
        <w:t>Chemicals</w:t>
      </w:r>
    </w:p>
    <w:p w:rsidR="0011018D" w:rsidRDefault="00421A99" w:rsidP="00427E41">
      <w:pPr>
        <w:pStyle w:val="ListParagraph"/>
        <w:numPr>
          <w:ilvl w:val="0"/>
          <w:numId w:val="22"/>
        </w:numPr>
      </w:pPr>
      <w:r>
        <w:t>Polin</w:t>
      </w:r>
      <w:r w:rsidR="0011018D">
        <w:t>g Oil</w:t>
      </w:r>
    </w:p>
    <w:p w:rsidR="00DB077C" w:rsidRDefault="00DB077C" w:rsidP="00427E41">
      <w:pPr>
        <w:pStyle w:val="ListParagraph"/>
        <w:numPr>
          <w:ilvl w:val="0"/>
          <w:numId w:val="22"/>
        </w:numPr>
      </w:pPr>
      <w:proofErr w:type="spellStart"/>
      <w:r>
        <w:t>Lenium</w:t>
      </w:r>
      <w:proofErr w:type="spellEnd"/>
      <w:r>
        <w:t xml:space="preserve"> ES</w:t>
      </w:r>
      <w:bookmarkStart w:id="0" w:name="_GoBack"/>
      <w:bookmarkEnd w:id="0"/>
    </w:p>
    <w:p w:rsidR="00DB077C" w:rsidRDefault="00DB077C" w:rsidP="00737BFA">
      <w:pPr>
        <w:pStyle w:val="Heading2"/>
        <w:numPr>
          <w:ilvl w:val="1"/>
          <w:numId w:val="16"/>
        </w:numPr>
      </w:pPr>
      <w:r>
        <w:lastRenderedPageBreak/>
        <w:t>Equipment</w:t>
      </w:r>
    </w:p>
    <w:p w:rsidR="009C280B" w:rsidRDefault="009C280B" w:rsidP="00427E41">
      <w:pPr>
        <w:pStyle w:val="ListParagraph"/>
        <w:numPr>
          <w:ilvl w:val="0"/>
          <w:numId w:val="21"/>
        </w:numPr>
      </w:pPr>
      <w:r>
        <w:t>Nitrile Gloves and Safety Glasses</w:t>
      </w:r>
    </w:p>
    <w:p w:rsidR="00DB077C" w:rsidRDefault="00DB077C" w:rsidP="00427E41">
      <w:pPr>
        <w:pStyle w:val="ListParagraph"/>
        <w:numPr>
          <w:ilvl w:val="0"/>
          <w:numId w:val="21"/>
        </w:numPr>
      </w:pPr>
      <w:r>
        <w:t>Immersion Circulation Baths</w:t>
      </w:r>
      <w:r w:rsidR="009C280B">
        <w:t xml:space="preserve">: </w:t>
      </w:r>
      <w:proofErr w:type="spellStart"/>
      <w:r w:rsidR="009C280B">
        <w:t>PolyScience</w:t>
      </w:r>
      <w:proofErr w:type="spellEnd"/>
      <w:r w:rsidR="009C280B">
        <w:t xml:space="preserve"> 28L Heated Circulator</w:t>
      </w:r>
      <w:r w:rsidR="005B1098">
        <w:t>, or equivalent</w:t>
      </w:r>
    </w:p>
    <w:p w:rsidR="00DB077C" w:rsidRDefault="00DB077C" w:rsidP="00427E41">
      <w:pPr>
        <w:pStyle w:val="ListParagraph"/>
        <w:numPr>
          <w:ilvl w:val="0"/>
          <w:numId w:val="21"/>
        </w:numPr>
      </w:pPr>
      <w:r>
        <w:t>Power Supplies</w:t>
      </w:r>
      <w:r w:rsidR="00C8131C">
        <w:t xml:space="preserve">: </w:t>
      </w:r>
      <w:r w:rsidR="00F4715E">
        <w:t>TDK-Lambda model FLX-30P7</w:t>
      </w:r>
      <w:r w:rsidR="005B1098">
        <w:t>, or equivalent</w:t>
      </w:r>
    </w:p>
    <w:p w:rsidR="00DB077C" w:rsidRDefault="00DB077C" w:rsidP="00427E41">
      <w:pPr>
        <w:pStyle w:val="ListParagraph"/>
        <w:numPr>
          <w:ilvl w:val="0"/>
          <w:numId w:val="21"/>
        </w:numPr>
      </w:pPr>
      <w:r>
        <w:t>High Temperature cables with High Temperature banana connectors</w:t>
      </w:r>
    </w:p>
    <w:p w:rsidR="00DB077C" w:rsidRDefault="00DB077C" w:rsidP="00427E41">
      <w:pPr>
        <w:pStyle w:val="ListParagraph"/>
        <w:numPr>
          <w:ilvl w:val="0"/>
          <w:numId w:val="21"/>
        </w:numPr>
      </w:pPr>
      <w:r>
        <w:t>Poling Fixtures</w:t>
      </w:r>
    </w:p>
    <w:p w:rsidR="00DB077C" w:rsidRDefault="00DB077C" w:rsidP="00427E41">
      <w:pPr>
        <w:pStyle w:val="ListParagraph"/>
        <w:numPr>
          <w:ilvl w:val="0"/>
          <w:numId w:val="21"/>
        </w:numPr>
      </w:pPr>
      <w:r>
        <w:t>Cleaning Fixtures</w:t>
      </w:r>
    </w:p>
    <w:p w:rsidR="00DB077C" w:rsidRDefault="00C8131C" w:rsidP="00427E41">
      <w:pPr>
        <w:pStyle w:val="ListParagraph"/>
        <w:numPr>
          <w:ilvl w:val="0"/>
          <w:numId w:val="21"/>
        </w:numPr>
      </w:pPr>
      <w:proofErr w:type="spellStart"/>
      <w:r>
        <w:t>Lenium</w:t>
      </w:r>
      <w:proofErr w:type="spellEnd"/>
      <w:r>
        <w:t xml:space="preserve"> Vapor Degreaser</w:t>
      </w:r>
      <w:r w:rsidR="008C4B6E">
        <w:t xml:space="preserve">: </w:t>
      </w:r>
      <w:r w:rsidR="009C280B">
        <w:t xml:space="preserve">Reliant Ultra </w:t>
      </w:r>
      <w:r w:rsidR="00E87665">
        <w:t>2012LE</w:t>
      </w:r>
      <w:r w:rsidR="005B1098">
        <w:t>, or equivalent</w:t>
      </w:r>
    </w:p>
    <w:p w:rsidR="0040700B" w:rsidRDefault="0040700B" w:rsidP="00427E41">
      <w:pPr>
        <w:pStyle w:val="ListParagraph"/>
        <w:numPr>
          <w:ilvl w:val="0"/>
          <w:numId w:val="21"/>
        </w:numPr>
      </w:pPr>
      <w:r>
        <w:t>Tweezers</w:t>
      </w:r>
    </w:p>
    <w:p w:rsidR="005B1098" w:rsidRDefault="005B1098" w:rsidP="00427E41">
      <w:pPr>
        <w:pStyle w:val="ListParagraph"/>
        <w:numPr>
          <w:ilvl w:val="0"/>
          <w:numId w:val="21"/>
        </w:numPr>
      </w:pPr>
      <w:r>
        <w:t>Digital Timer</w:t>
      </w:r>
    </w:p>
    <w:p w:rsidR="009C280B" w:rsidRDefault="009C280B" w:rsidP="00427E41">
      <w:pPr>
        <w:pStyle w:val="ListParagraph"/>
        <w:numPr>
          <w:ilvl w:val="0"/>
          <w:numId w:val="21"/>
        </w:numPr>
      </w:pPr>
      <w:r>
        <w:t>Pig Mats and Paper Towels</w:t>
      </w:r>
    </w:p>
    <w:p w:rsidR="00E87665" w:rsidRPr="00DB077C" w:rsidRDefault="00E87665" w:rsidP="00427E41">
      <w:pPr>
        <w:pStyle w:val="ListParagraph"/>
        <w:numPr>
          <w:ilvl w:val="0"/>
          <w:numId w:val="21"/>
        </w:numPr>
      </w:pPr>
      <w:r>
        <w:t>Air Handling</w:t>
      </w:r>
      <w:r w:rsidR="008559E2">
        <w:t>/ventilation</w:t>
      </w:r>
      <w:r>
        <w:t xml:space="preserve"> Systems</w:t>
      </w:r>
    </w:p>
    <w:p w:rsidR="00737BFA" w:rsidRDefault="00737BFA" w:rsidP="00737BFA">
      <w:pPr>
        <w:pStyle w:val="Heading1"/>
        <w:numPr>
          <w:ilvl w:val="0"/>
          <w:numId w:val="16"/>
        </w:numPr>
      </w:pPr>
      <w:r>
        <w:t>Poling Procedure</w:t>
      </w:r>
    </w:p>
    <w:p w:rsidR="00951BA4" w:rsidRDefault="00951BA4" w:rsidP="00737BFA">
      <w:pPr>
        <w:pStyle w:val="Heading2"/>
        <w:numPr>
          <w:ilvl w:val="1"/>
          <w:numId w:val="16"/>
        </w:numPr>
      </w:pPr>
      <w:r>
        <w:t>P</w:t>
      </w:r>
      <w:r w:rsidR="00737BFA">
        <w:t>reparation</w:t>
      </w:r>
      <w:r>
        <w:t xml:space="preserve"> for Poling</w:t>
      </w:r>
    </w:p>
    <w:p w:rsidR="00737BFA" w:rsidRDefault="002E5D91" w:rsidP="00737BFA">
      <w:pPr>
        <w:numPr>
          <w:ilvl w:val="2"/>
          <w:numId w:val="16"/>
        </w:numPr>
      </w:pPr>
      <w:r>
        <w:t>Turn on and p</w:t>
      </w:r>
      <w:r w:rsidR="00737BFA" w:rsidRPr="00737BFA">
        <w:t xml:space="preserve">reheat the poling baths.  The temperature should be set to the poling temperature specified on the router.  This can and should be done </w:t>
      </w:r>
      <w:r w:rsidR="00623422">
        <w:t xml:space="preserve">1-2 hours </w:t>
      </w:r>
      <w:r w:rsidR="00737BFA" w:rsidRPr="00737BFA">
        <w:t>in advance so the poling bat</w:t>
      </w:r>
      <w:r w:rsidR="00623422">
        <w:t>h has time to stabilize at temperature</w:t>
      </w:r>
      <w:r w:rsidR="00737BFA" w:rsidRPr="00737BFA">
        <w:t>.</w:t>
      </w:r>
    </w:p>
    <w:p w:rsidR="00737BFA" w:rsidRDefault="00737BFA" w:rsidP="002E5D91">
      <w:pPr>
        <w:numPr>
          <w:ilvl w:val="2"/>
          <w:numId w:val="16"/>
        </w:numPr>
      </w:pPr>
      <w:r>
        <w:t>Turn on the power supplies and let them warm up.</w:t>
      </w:r>
      <w:r w:rsidR="002E5D91">
        <w:t xml:space="preserve">  </w:t>
      </w:r>
      <w:r>
        <w:t>The manufacturer recommends 30 minutes of warm up time</w:t>
      </w:r>
      <w:r w:rsidR="00F4715E">
        <w:t xml:space="preserve"> for the TDK-Lambda power supplies</w:t>
      </w:r>
      <w:r>
        <w:t>.</w:t>
      </w:r>
    </w:p>
    <w:p w:rsidR="002E5D91" w:rsidRDefault="002E5D91" w:rsidP="002E5D91">
      <w:pPr>
        <w:numPr>
          <w:ilvl w:val="2"/>
          <w:numId w:val="16"/>
        </w:numPr>
      </w:pPr>
      <w:r>
        <w:t>Turn on the vapor degreaser</w:t>
      </w:r>
      <w:r w:rsidR="00530EA0">
        <w:t xml:space="preserve"> and let it warm up.  Refer to the operation manual of the vapor degreaser being used for operation and settings.</w:t>
      </w:r>
      <w:r w:rsidR="005B1098">
        <w:t xml:space="preserve">  The “Vapor Up” light must be on before cleaning parts.</w:t>
      </w:r>
    </w:p>
    <w:p w:rsidR="00E87665" w:rsidRPr="00737BFA" w:rsidRDefault="00E87665" w:rsidP="002E5D91">
      <w:pPr>
        <w:numPr>
          <w:ilvl w:val="2"/>
          <w:numId w:val="16"/>
        </w:numPr>
      </w:pPr>
      <w:r>
        <w:t>Turn on any air handling units associated with the poling process.  These should be on at any time when the oil is heated and may create an odor.</w:t>
      </w:r>
    </w:p>
    <w:p w:rsidR="00951BA4" w:rsidRDefault="00951BA4" w:rsidP="00737BFA">
      <w:pPr>
        <w:pStyle w:val="Heading2"/>
        <w:numPr>
          <w:ilvl w:val="1"/>
          <w:numId w:val="16"/>
        </w:numPr>
      </w:pPr>
      <w:r>
        <w:t>Poling the Crystals</w:t>
      </w:r>
      <w:r w:rsidR="005B1098">
        <w:t xml:space="preserve"> – Manual Process</w:t>
      </w:r>
    </w:p>
    <w:p w:rsidR="00737BFA" w:rsidRDefault="00737BFA" w:rsidP="00737BFA">
      <w:pPr>
        <w:numPr>
          <w:ilvl w:val="2"/>
          <w:numId w:val="16"/>
        </w:numPr>
      </w:pPr>
      <w:r>
        <w:t>Load the poling fixture with the appropriate number of crystals.  If there are not enough crystals remaining in the lot to fill all the locations in the fixture, use an insulator dud in each unused location.</w:t>
      </w:r>
    </w:p>
    <w:p w:rsidR="000D50A2" w:rsidRDefault="000D50A2" w:rsidP="000D50A2">
      <w:pPr>
        <w:numPr>
          <w:ilvl w:val="2"/>
          <w:numId w:val="16"/>
        </w:numPr>
      </w:pPr>
      <w:r>
        <w:t>Confirm the power supply out is off, then c</w:t>
      </w:r>
      <w:r w:rsidR="00D00BEE">
        <w:t>onnect the poling fixture to the power supply using two high temperature leads</w:t>
      </w:r>
      <w:r w:rsidR="00C8131C">
        <w:t>, if it is not already</w:t>
      </w:r>
      <w:r w:rsidR="00D00BEE">
        <w:t>.</w:t>
      </w:r>
    </w:p>
    <w:p w:rsidR="000D50A2" w:rsidRDefault="000D50A2" w:rsidP="000D50A2">
      <w:pPr>
        <w:numPr>
          <w:ilvl w:val="2"/>
          <w:numId w:val="16"/>
        </w:numPr>
      </w:pPr>
      <w:r>
        <w:t>Set a digital timer to the appropriate time, as indicated on the router.</w:t>
      </w:r>
    </w:p>
    <w:p w:rsidR="000D50A2" w:rsidRDefault="000D50A2" w:rsidP="000D50A2">
      <w:pPr>
        <w:numPr>
          <w:ilvl w:val="2"/>
          <w:numId w:val="16"/>
        </w:numPr>
      </w:pPr>
      <w:r>
        <w:t xml:space="preserve">Remove the lid from the oil bath, submerge the poling fixture, </w:t>
      </w:r>
      <w:proofErr w:type="gramStart"/>
      <w:r>
        <w:t>then</w:t>
      </w:r>
      <w:proofErr w:type="gramEnd"/>
      <w:r>
        <w:t xml:space="preserve"> replace the lid.</w:t>
      </w:r>
    </w:p>
    <w:p w:rsidR="000D50A2" w:rsidRDefault="000D50A2" w:rsidP="000D50A2">
      <w:pPr>
        <w:numPr>
          <w:ilvl w:val="2"/>
          <w:numId w:val="16"/>
        </w:numPr>
      </w:pPr>
      <w:r>
        <w:t>Confirm the power supply is set to 0 Volts, then turn the output ON.</w:t>
      </w:r>
    </w:p>
    <w:p w:rsidR="00D00BEE" w:rsidRDefault="00D00BEE" w:rsidP="00D00BEE">
      <w:pPr>
        <w:numPr>
          <w:ilvl w:val="2"/>
          <w:numId w:val="16"/>
        </w:numPr>
      </w:pPr>
      <w:r>
        <w:t>Set the power supply to the appropriate voltage, as indicated on the router.</w:t>
      </w:r>
      <w:r w:rsidR="009C280B">
        <w:t xml:space="preserve">  Refer to the power supply manual for operation instructions.</w:t>
      </w:r>
    </w:p>
    <w:p w:rsidR="00D00BEE" w:rsidRDefault="00C8131C" w:rsidP="00427E41">
      <w:r>
        <w:t xml:space="preserve">NOTE: </w:t>
      </w:r>
      <w:r w:rsidR="00D00BEE">
        <w:t xml:space="preserve">Watch the voltage and current displays on the power supply as the crystals charge up.  Be sure the appropriate voltage is achieved and there is no shorting or arcing.  If this occurs, </w:t>
      </w:r>
      <w:r w:rsidR="00073C9F">
        <w:t xml:space="preserve">the power supply will automatically </w:t>
      </w:r>
      <w:r w:rsidR="00D00BEE">
        <w:t xml:space="preserve">turn off the </w:t>
      </w:r>
      <w:r w:rsidR="00073C9F">
        <w:t xml:space="preserve">output and reapply after a brief time.  If a crystal has broken, the supply may be shorted out and you will need to </w:t>
      </w:r>
      <w:r w:rsidR="00D00BEE">
        <w:t>remove the damaged crystal</w:t>
      </w:r>
      <w:r w:rsidR="00073C9F">
        <w:t>, replace it with a dud</w:t>
      </w:r>
      <w:r w:rsidR="00D00BEE">
        <w:t xml:space="preserve"> and restart the poling run.</w:t>
      </w:r>
    </w:p>
    <w:p w:rsidR="00D00BEE" w:rsidRDefault="00D00BEE" w:rsidP="00D00BEE">
      <w:pPr>
        <w:numPr>
          <w:ilvl w:val="2"/>
          <w:numId w:val="16"/>
        </w:numPr>
      </w:pPr>
      <w:r>
        <w:t>Once the time has elapsed</w:t>
      </w:r>
      <w:r w:rsidR="009C280B">
        <w:t xml:space="preserve">, silence the alarm and </w:t>
      </w:r>
      <w:r>
        <w:t xml:space="preserve">turn the power supply output </w:t>
      </w:r>
      <w:r w:rsidR="009C280B">
        <w:t>OFF.  W</w:t>
      </w:r>
      <w:r>
        <w:t>atch the vol</w:t>
      </w:r>
      <w:r w:rsidR="00421A99">
        <w:t>tage on the crystals decrease.</w:t>
      </w:r>
    </w:p>
    <w:p w:rsidR="00073C9F" w:rsidRDefault="00073C9F" w:rsidP="00D00BEE">
      <w:pPr>
        <w:numPr>
          <w:ilvl w:val="2"/>
          <w:numId w:val="16"/>
        </w:numPr>
      </w:pPr>
      <w:r>
        <w:lastRenderedPageBreak/>
        <w:t>Turn the power supply voltage setting back down to 0 Volts in preparation for the next run.</w:t>
      </w:r>
    </w:p>
    <w:p w:rsidR="00D00BEE" w:rsidRDefault="00D00BEE" w:rsidP="00D00BEE">
      <w:pPr>
        <w:numPr>
          <w:ilvl w:val="2"/>
          <w:numId w:val="16"/>
        </w:numPr>
      </w:pPr>
      <w:r>
        <w:t>Remove the lid from the oil bath, remove the poling fixture,</w:t>
      </w:r>
      <w:r w:rsidR="00073C9F">
        <w:t xml:space="preserve"> s</w:t>
      </w:r>
      <w:r w:rsidR="009C280B">
        <w:t>et the poling fixture onto pig mat</w:t>
      </w:r>
      <w:r w:rsidR="00073C9F">
        <w:t xml:space="preserve">s to absorb most of the hot oil, </w:t>
      </w:r>
      <w:proofErr w:type="gramStart"/>
      <w:r w:rsidR="00073C9F">
        <w:t>then</w:t>
      </w:r>
      <w:proofErr w:type="gramEnd"/>
      <w:r w:rsidR="00073C9F">
        <w:t xml:space="preserve"> replace the lid.</w:t>
      </w:r>
    </w:p>
    <w:p w:rsidR="004C3AFB" w:rsidRDefault="004C3AFB" w:rsidP="004C3AFB">
      <w:pPr>
        <w:numPr>
          <w:ilvl w:val="2"/>
          <w:numId w:val="16"/>
        </w:numPr>
      </w:pPr>
      <w:r>
        <w:t>Place t</w:t>
      </w:r>
      <w:r w:rsidR="009C280B">
        <w:t xml:space="preserve">he cleaning rack on top of some </w:t>
      </w:r>
      <w:r>
        <w:t>paper towels to catch most of the oil dripping from the parts.</w:t>
      </w:r>
    </w:p>
    <w:p w:rsidR="00073C9F" w:rsidRDefault="004C3AFB" w:rsidP="004C3AFB">
      <w:pPr>
        <w:numPr>
          <w:ilvl w:val="2"/>
          <w:numId w:val="16"/>
        </w:numPr>
      </w:pPr>
      <w:r>
        <w:t>Remove the crystals from the poling fixture and place them into the appropriate cleaning rack.</w:t>
      </w:r>
    </w:p>
    <w:p w:rsidR="004C3AFB" w:rsidRDefault="00073C9F" w:rsidP="00427E41">
      <w:r>
        <w:t xml:space="preserve">NOTE: </w:t>
      </w:r>
      <w:r w:rsidR="004C3AFB">
        <w:t xml:space="preserve">Do this using metal tweezers </w:t>
      </w:r>
      <w:r w:rsidR="009C280B">
        <w:t xml:space="preserve">and gloved hands </w:t>
      </w:r>
      <w:r w:rsidR="004C3AFB">
        <w:t>to avoid getting a shock</w:t>
      </w:r>
      <w:r>
        <w:t>.  T</w:t>
      </w:r>
      <w:r w:rsidR="004C3AFB">
        <w:t>he crystals will build up charge as they cool.</w:t>
      </w:r>
    </w:p>
    <w:p w:rsidR="004C3AFB" w:rsidRDefault="004C3AFB" w:rsidP="004C3AFB">
      <w:pPr>
        <w:numPr>
          <w:ilvl w:val="2"/>
          <w:numId w:val="16"/>
        </w:numPr>
      </w:pPr>
      <w:r>
        <w:t>Once all the crystals are removed from the poling fixture, it may be reloaded and the process repeated.</w:t>
      </w:r>
    </w:p>
    <w:p w:rsidR="004C3AFB" w:rsidRDefault="00951BA4" w:rsidP="004C3AFB">
      <w:pPr>
        <w:pStyle w:val="Heading2"/>
        <w:numPr>
          <w:ilvl w:val="1"/>
          <w:numId w:val="16"/>
        </w:numPr>
      </w:pPr>
      <w:r>
        <w:t>Cleaning the Crystals</w:t>
      </w:r>
    </w:p>
    <w:p w:rsidR="00D00BEE" w:rsidRDefault="000D50A2" w:rsidP="00D00BEE">
      <w:pPr>
        <w:numPr>
          <w:ilvl w:val="2"/>
          <w:numId w:val="16"/>
        </w:numPr>
      </w:pPr>
      <w:r>
        <w:t>O</w:t>
      </w:r>
      <w:r w:rsidR="004C3AFB">
        <w:t>pen the top door to the vapor degreaser</w:t>
      </w:r>
      <w:r>
        <w:t xml:space="preserve">, set the </w:t>
      </w:r>
      <w:r w:rsidR="004C3AFB">
        <w:t>rack</w:t>
      </w:r>
      <w:r w:rsidR="00530EA0">
        <w:t xml:space="preserve"> </w:t>
      </w:r>
      <w:r>
        <w:t xml:space="preserve">of crystals on </w:t>
      </w:r>
      <w:r w:rsidR="00530EA0">
        <w:t xml:space="preserve">the </w:t>
      </w:r>
      <w:r>
        <w:t xml:space="preserve">platform, </w:t>
      </w:r>
      <w:r w:rsidR="004C3AFB">
        <w:t>then close the door.</w:t>
      </w:r>
    </w:p>
    <w:p w:rsidR="004C3AFB" w:rsidRDefault="000D50A2" w:rsidP="00D00BEE">
      <w:pPr>
        <w:numPr>
          <w:ilvl w:val="2"/>
          <w:numId w:val="16"/>
        </w:numPr>
      </w:pPr>
      <w:r>
        <w:t xml:space="preserve">On the control panel, confirm </w:t>
      </w:r>
      <w:r w:rsidR="005B1098">
        <w:t>recipe</w:t>
      </w:r>
      <w:r>
        <w:t xml:space="preserve"> #17 is loaded, then press the button to start the cleaning cycle.</w:t>
      </w:r>
    </w:p>
    <w:p w:rsidR="004C3AFB" w:rsidRDefault="004C3AFB" w:rsidP="00D00BEE">
      <w:pPr>
        <w:numPr>
          <w:ilvl w:val="2"/>
          <w:numId w:val="16"/>
        </w:numPr>
      </w:pPr>
      <w:r>
        <w:t>Once th</w:t>
      </w:r>
      <w:r w:rsidR="000D50A2">
        <w:t>e cleaning cycle is complete, the amber light will be lit.</w:t>
      </w:r>
    </w:p>
    <w:p w:rsidR="000D50A2" w:rsidRDefault="000D50A2" w:rsidP="00D00BEE">
      <w:pPr>
        <w:numPr>
          <w:ilvl w:val="2"/>
          <w:numId w:val="16"/>
        </w:numPr>
      </w:pPr>
      <w:r>
        <w:t xml:space="preserve">Open the door, retrieve the rack of clean crystals, </w:t>
      </w:r>
      <w:proofErr w:type="gramStart"/>
      <w:r>
        <w:t>then</w:t>
      </w:r>
      <w:proofErr w:type="gramEnd"/>
      <w:r>
        <w:t xml:space="preserve"> close the door.</w:t>
      </w:r>
    </w:p>
    <w:p w:rsidR="004C3AFB" w:rsidRDefault="004C3AFB" w:rsidP="00D00BEE">
      <w:pPr>
        <w:numPr>
          <w:ilvl w:val="2"/>
          <w:numId w:val="16"/>
        </w:numPr>
      </w:pPr>
      <w:r>
        <w:t>Remove the crystals from the rack using gloved hands</w:t>
      </w:r>
      <w:r w:rsidR="0040700B">
        <w:t xml:space="preserve"> and tweezers,</w:t>
      </w:r>
      <w:r>
        <w:t xml:space="preserve"> and place them in </w:t>
      </w:r>
      <w:r w:rsidR="0031239D">
        <w:t>plastic trays.</w:t>
      </w:r>
    </w:p>
    <w:p w:rsidR="00530EA0" w:rsidRPr="00D00BEE" w:rsidRDefault="00530EA0" w:rsidP="00427E41">
      <w:r>
        <w:t xml:space="preserve">NOTE: Touching the crystals with bare hands at this point </w:t>
      </w:r>
      <w:r w:rsidR="000D50A2">
        <w:t xml:space="preserve">may </w:t>
      </w:r>
      <w:r>
        <w:t>dirty them and</w:t>
      </w:r>
      <w:r w:rsidR="000D50A2">
        <w:t xml:space="preserve"> may </w:t>
      </w:r>
      <w:r>
        <w:t>cause a nasty electrical shock.</w:t>
      </w:r>
    </w:p>
    <w:p w:rsidR="00951BA4" w:rsidRDefault="00951BA4" w:rsidP="00737BFA">
      <w:pPr>
        <w:pStyle w:val="Heading2"/>
        <w:numPr>
          <w:ilvl w:val="1"/>
          <w:numId w:val="16"/>
        </w:numPr>
      </w:pPr>
      <w:r>
        <w:t>Shut Down</w:t>
      </w:r>
    </w:p>
    <w:p w:rsidR="000D50A2" w:rsidRDefault="0031239D" w:rsidP="005A1CB9">
      <w:pPr>
        <w:numPr>
          <w:ilvl w:val="2"/>
          <w:numId w:val="16"/>
        </w:numPr>
      </w:pPr>
      <w:r>
        <w:t>Turn the temperature setting of the poling bath</w:t>
      </w:r>
      <w:r w:rsidR="005B5B93">
        <w:t>(s)</w:t>
      </w:r>
      <w:r>
        <w:t xml:space="preserve"> to </w:t>
      </w:r>
      <w:r w:rsidR="000D50A2">
        <w:t>3</w:t>
      </w:r>
      <w:r>
        <w:t>0</w:t>
      </w:r>
      <w:r w:rsidR="000D50A2">
        <w:t>°C</w:t>
      </w:r>
      <w:r>
        <w:t>.</w:t>
      </w:r>
    </w:p>
    <w:p w:rsidR="005A1CB9" w:rsidRDefault="000D50A2" w:rsidP="00427E41">
      <w:r>
        <w:t xml:space="preserve">NOTE: </w:t>
      </w:r>
      <w:r w:rsidR="0031239D">
        <w:t>Do NOT turn the controller off, or there will be no indication of the temperature of the oil inside.</w:t>
      </w:r>
      <w:r w:rsidR="005A1CB9">
        <w:t xml:space="preserve">  Only turn off the controller if the oil is already at room temperature and no work is planned for an extended period.</w:t>
      </w:r>
    </w:p>
    <w:p w:rsidR="005B5B93" w:rsidRDefault="005B5B93" w:rsidP="005A1CB9">
      <w:pPr>
        <w:numPr>
          <w:ilvl w:val="2"/>
          <w:numId w:val="16"/>
        </w:numPr>
      </w:pPr>
      <w:r>
        <w:t>Turn the power supply(s) off.</w:t>
      </w:r>
    </w:p>
    <w:p w:rsidR="00E87665" w:rsidRPr="0031239D" w:rsidRDefault="00E87665" w:rsidP="005A1CB9">
      <w:pPr>
        <w:numPr>
          <w:ilvl w:val="2"/>
          <w:numId w:val="16"/>
        </w:numPr>
      </w:pPr>
      <w:r>
        <w:t>Do not turn off any air handling systems unless the oil is at room temperature.</w:t>
      </w:r>
    </w:p>
    <w:sectPr w:rsidR="00E87665" w:rsidRPr="0031239D"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04" w:rsidRDefault="00680F04">
      <w:r>
        <w:separator/>
      </w:r>
    </w:p>
  </w:endnote>
  <w:endnote w:type="continuationSeparator" w:id="0">
    <w:p w:rsidR="00680F04" w:rsidRDefault="0068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6" w:type="dxa"/>
      <w:tblLook w:val="01E0" w:firstRow="1" w:lastRow="1" w:firstColumn="1" w:lastColumn="1" w:noHBand="0" w:noVBand="0"/>
    </w:tblPr>
    <w:tblGrid>
      <w:gridCol w:w="3682"/>
      <w:gridCol w:w="6173"/>
      <w:gridCol w:w="1191"/>
    </w:tblGrid>
    <w:tr w:rsidR="00B273F4" w:rsidRPr="00E05D4D" w:rsidTr="008005D3">
      <w:trPr>
        <w:trHeight w:val="281"/>
      </w:trPr>
      <w:tc>
        <w:tcPr>
          <w:tcW w:w="3682" w:type="dxa"/>
          <w:shd w:val="clear" w:color="auto" w:fill="auto"/>
          <w:vAlign w:val="center"/>
        </w:tcPr>
        <w:p w:rsidR="00B273F4" w:rsidRPr="00E05D4D" w:rsidRDefault="00B273F4" w:rsidP="00E05D4D">
          <w:pPr>
            <w:pStyle w:val="Footer"/>
            <w:jc w:val="center"/>
            <w:rPr>
              <w:rFonts w:ascii="Arial" w:hAnsi="Arial" w:cs="Arial"/>
              <w:sz w:val="16"/>
              <w:szCs w:val="16"/>
            </w:rPr>
          </w:pPr>
        </w:p>
      </w:tc>
      <w:tc>
        <w:tcPr>
          <w:tcW w:w="6173" w:type="dxa"/>
          <w:shd w:val="clear" w:color="auto" w:fill="auto"/>
          <w:vAlign w:val="center"/>
        </w:tcPr>
        <w:p w:rsidR="00B273F4" w:rsidRPr="00E05D4D" w:rsidRDefault="00B273F4" w:rsidP="00E05D4D">
          <w:pPr>
            <w:pStyle w:val="Footer"/>
            <w:jc w:val="right"/>
            <w:rPr>
              <w:rFonts w:ascii="Arial" w:hAnsi="Arial" w:cs="Arial"/>
              <w:sz w:val="16"/>
              <w:szCs w:val="16"/>
            </w:rPr>
          </w:pPr>
        </w:p>
      </w:tc>
      <w:tc>
        <w:tcPr>
          <w:tcW w:w="1191" w:type="dxa"/>
          <w:shd w:val="clear" w:color="auto" w:fill="auto"/>
          <w:vAlign w:val="center"/>
        </w:tcPr>
        <w:p w:rsidR="00220EFC" w:rsidRDefault="00220EFC" w:rsidP="00E05D4D">
          <w:pPr>
            <w:pStyle w:val="Footer"/>
            <w:jc w:val="right"/>
            <w:rPr>
              <w:rFonts w:ascii="Arial" w:hAnsi="Arial" w:cs="Arial"/>
              <w:sz w:val="16"/>
              <w:szCs w:val="16"/>
            </w:rPr>
          </w:pPr>
        </w:p>
        <w:p w:rsidR="00B273F4" w:rsidRPr="00E05D4D" w:rsidRDefault="00A53214" w:rsidP="00585058">
          <w:pPr>
            <w:pStyle w:val="Footer"/>
            <w:jc w:val="right"/>
            <w:rPr>
              <w:rFonts w:ascii="Arial" w:hAnsi="Arial" w:cs="Arial"/>
              <w:sz w:val="16"/>
              <w:szCs w:val="16"/>
            </w:rPr>
          </w:pPr>
          <w:r>
            <w:rPr>
              <w:rFonts w:ascii="Arial" w:hAnsi="Arial" w:cs="Arial"/>
              <w:sz w:val="16"/>
              <w:szCs w:val="16"/>
            </w:rPr>
            <w:t>CR10</w:t>
          </w:r>
          <w:r w:rsidR="00585058">
            <w:rPr>
              <w:rFonts w:ascii="Arial" w:hAnsi="Arial" w:cs="Arial"/>
              <w:sz w:val="16"/>
              <w:szCs w:val="16"/>
            </w:rPr>
            <w:t>64</w:t>
          </w:r>
        </w:p>
      </w:tc>
    </w:tr>
    <w:tr w:rsidR="00B273F4" w:rsidRPr="00E05D4D" w:rsidTr="008005D3">
      <w:trPr>
        <w:trHeight w:val="281"/>
      </w:trPr>
      <w:tc>
        <w:tcPr>
          <w:tcW w:w="3682" w:type="dxa"/>
          <w:shd w:val="clear" w:color="auto" w:fill="auto"/>
          <w:vAlign w:val="center"/>
        </w:tcPr>
        <w:p w:rsidR="00B273F4" w:rsidRPr="00E05D4D" w:rsidRDefault="00B273F4" w:rsidP="006B663F">
          <w:pPr>
            <w:pStyle w:val="Footer"/>
            <w:rPr>
              <w:rFonts w:ascii="Arial" w:hAnsi="Arial" w:cs="Arial"/>
              <w:sz w:val="16"/>
              <w:szCs w:val="16"/>
            </w:rPr>
          </w:pPr>
        </w:p>
      </w:tc>
      <w:tc>
        <w:tcPr>
          <w:tcW w:w="6173" w:type="dxa"/>
          <w:shd w:val="clear" w:color="auto" w:fill="auto"/>
          <w:vAlign w:val="center"/>
        </w:tcPr>
        <w:p w:rsidR="00B273F4" w:rsidRPr="00E05D4D" w:rsidRDefault="00B273F4" w:rsidP="00CD2070">
          <w:pPr>
            <w:pStyle w:val="Footer"/>
            <w:rPr>
              <w:rFonts w:ascii="Arial" w:hAnsi="Arial" w:cs="Arial"/>
              <w:sz w:val="16"/>
              <w:szCs w:val="16"/>
            </w:rPr>
          </w:pPr>
          <w:r w:rsidRPr="00E05D4D">
            <w:rPr>
              <w:rFonts w:ascii="Arial" w:hAnsi="Arial" w:cs="Arial"/>
              <w:sz w:val="16"/>
              <w:szCs w:val="16"/>
            </w:rPr>
            <w:t xml:space="preserve">                                    PAGE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EE0E7D">
            <w:rPr>
              <w:rStyle w:val="PageNumber"/>
              <w:rFonts w:ascii="Arial" w:hAnsi="Arial" w:cs="Arial"/>
              <w:noProof/>
              <w:sz w:val="16"/>
              <w:szCs w:val="16"/>
            </w:rPr>
            <w:t>1</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EE0E7D">
            <w:rPr>
              <w:rStyle w:val="PageNumber"/>
              <w:rFonts w:ascii="Arial" w:hAnsi="Arial" w:cs="Arial"/>
              <w:noProof/>
              <w:sz w:val="16"/>
              <w:szCs w:val="16"/>
            </w:rPr>
            <w:t>3</w:t>
          </w:r>
          <w:r w:rsidRPr="00E05D4D">
            <w:rPr>
              <w:rStyle w:val="PageNumber"/>
              <w:rFonts w:ascii="Arial" w:hAnsi="Arial" w:cs="Arial"/>
              <w:sz w:val="16"/>
              <w:szCs w:val="16"/>
            </w:rPr>
            <w:fldChar w:fldCharType="end"/>
          </w:r>
        </w:p>
      </w:tc>
      <w:tc>
        <w:tcPr>
          <w:tcW w:w="1191" w:type="dxa"/>
          <w:shd w:val="clear" w:color="auto" w:fill="auto"/>
          <w:vAlign w:val="center"/>
        </w:tcPr>
        <w:p w:rsidR="00B273F4" w:rsidRPr="008005D3" w:rsidRDefault="00EE0E7D" w:rsidP="00220EFC">
          <w:pPr>
            <w:pStyle w:val="Footer"/>
            <w:rPr>
              <w:rFonts w:ascii="Arial" w:hAnsi="Arial" w:cs="Arial"/>
              <w:sz w:val="16"/>
              <w:szCs w:val="16"/>
            </w:rPr>
          </w:pPr>
          <w:r>
            <w:rPr>
              <w:rFonts w:ascii="Arial" w:hAnsi="Arial" w:cs="Arial"/>
              <w:sz w:val="16"/>
              <w:szCs w:val="16"/>
            </w:rPr>
            <w:t xml:space="preserve">       </w:t>
          </w:r>
          <w:r w:rsidR="008005D3" w:rsidRPr="008005D3">
            <w:rPr>
              <w:rFonts w:ascii="Arial" w:hAnsi="Arial" w:cs="Arial"/>
              <w:sz w:val="16"/>
              <w:szCs w:val="16"/>
            </w:rPr>
            <w:t>REV</w:t>
          </w:r>
          <w:r>
            <w:rPr>
              <w:rFonts w:ascii="Arial" w:hAnsi="Arial" w:cs="Arial"/>
              <w:sz w:val="16"/>
              <w:szCs w:val="16"/>
            </w:rPr>
            <w:t>:NR</w:t>
          </w:r>
        </w:p>
      </w:tc>
    </w:tr>
    <w:tr w:rsidR="00220EFC" w:rsidRPr="00E05D4D" w:rsidTr="008005D3">
      <w:trPr>
        <w:trHeight w:val="281"/>
      </w:trPr>
      <w:tc>
        <w:tcPr>
          <w:tcW w:w="3682" w:type="dxa"/>
          <w:shd w:val="clear" w:color="auto" w:fill="auto"/>
          <w:vAlign w:val="center"/>
        </w:tcPr>
        <w:p w:rsidR="00220EFC" w:rsidRPr="00E05D4D" w:rsidRDefault="00220EFC" w:rsidP="006B663F">
          <w:pPr>
            <w:pStyle w:val="Footer"/>
            <w:rPr>
              <w:rFonts w:ascii="Arial" w:hAnsi="Arial" w:cs="Arial"/>
              <w:sz w:val="16"/>
              <w:szCs w:val="16"/>
            </w:rPr>
          </w:pPr>
        </w:p>
      </w:tc>
      <w:tc>
        <w:tcPr>
          <w:tcW w:w="6173" w:type="dxa"/>
          <w:shd w:val="clear" w:color="auto" w:fill="auto"/>
          <w:vAlign w:val="center"/>
        </w:tcPr>
        <w:p w:rsidR="00220EFC" w:rsidRPr="00E05D4D" w:rsidRDefault="00220EFC" w:rsidP="00CD2070">
          <w:pPr>
            <w:pStyle w:val="Footer"/>
            <w:rPr>
              <w:rFonts w:ascii="Arial" w:hAnsi="Arial" w:cs="Arial"/>
              <w:sz w:val="16"/>
              <w:szCs w:val="16"/>
            </w:rPr>
          </w:pPr>
        </w:p>
      </w:tc>
      <w:tc>
        <w:tcPr>
          <w:tcW w:w="1191" w:type="dxa"/>
          <w:shd w:val="clear" w:color="auto" w:fill="auto"/>
          <w:vAlign w:val="center"/>
        </w:tcPr>
        <w:p w:rsidR="00220EFC" w:rsidRDefault="00220EFC" w:rsidP="00220EFC">
          <w:pPr>
            <w:pStyle w:val="Footer"/>
            <w:rPr>
              <w:rFonts w:ascii="Arial" w:hAnsi="Arial" w:cs="Arial"/>
              <w:sz w:val="16"/>
              <w:szCs w:val="16"/>
            </w:rPr>
          </w:pPr>
        </w:p>
      </w:tc>
    </w:tr>
  </w:tbl>
  <w:p w:rsidR="00B273F4" w:rsidRPr="00895072" w:rsidRDefault="00B273F4"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B273F4" w:rsidRPr="006B663F" w:rsidRDefault="00B273F4"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04" w:rsidRDefault="00680F04">
      <w:r>
        <w:separator/>
      </w:r>
    </w:p>
  </w:footnote>
  <w:footnote w:type="continuationSeparator" w:id="0">
    <w:p w:rsidR="00680F04" w:rsidRDefault="0068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F4" w:rsidRDefault="0033355D">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3F4" w:rsidRDefault="00B273F4" w:rsidP="00895072">
    <w:pPr>
      <w:rPr>
        <w:rFonts w:ascii="Arial" w:hAnsi="Arial"/>
        <w:sz w:val="28"/>
      </w:rPr>
    </w:pPr>
  </w:p>
  <w:p w:rsidR="00B273F4" w:rsidRDefault="00B273F4" w:rsidP="006C2FD8">
    <w:pPr>
      <w:jc w:val="center"/>
      <w:rPr>
        <w:rFonts w:ascii="Arial" w:hAnsi="Arial"/>
        <w:sz w:val="28"/>
      </w:rPr>
    </w:pPr>
  </w:p>
  <w:p w:rsidR="00B273F4" w:rsidRDefault="00B273F4" w:rsidP="006C2FD8">
    <w:pPr>
      <w:jc w:val="center"/>
      <w:rPr>
        <w:rFonts w:ascii="Arial" w:hAnsi="Arial"/>
        <w:sz w:val="28"/>
      </w:rPr>
    </w:pPr>
  </w:p>
  <w:p w:rsidR="00B273F4" w:rsidRDefault="00B273F4" w:rsidP="009C280B">
    <w:pPr>
      <w:jc w:val="center"/>
    </w:pPr>
    <w:r w:rsidRPr="006C2FD8">
      <w:rPr>
        <w:rFonts w:ascii="Arial" w:hAnsi="Arial"/>
        <w:sz w:val="28"/>
      </w:rPr>
      <w:t>User Guide:</w:t>
    </w:r>
    <w:r w:rsidR="00E962F9">
      <w:rPr>
        <w:rFonts w:ascii="Arial" w:hAnsi="Arial"/>
        <w:sz w:val="28"/>
      </w:rPr>
      <w:t xml:space="preserve"> </w:t>
    </w:r>
    <w:r w:rsidR="00951BA4">
      <w:rPr>
        <w:rFonts w:ascii="Arial" w:hAnsi="Arial"/>
        <w:sz w:val="28"/>
      </w:rPr>
      <w:t xml:space="preserve">Poling </w:t>
    </w:r>
    <w:r w:rsidR="009C280B">
      <w:rPr>
        <w:rFonts w:ascii="Arial" w:hAnsi="Arial"/>
        <w:sz w:val="28"/>
      </w:rPr>
      <w:t xml:space="preserve">Ceramic </w:t>
    </w:r>
    <w:r w:rsidR="00951BA4">
      <w:rPr>
        <w:rFonts w:ascii="Arial" w:hAnsi="Arial"/>
        <w:sz w:val="28"/>
      </w:rPr>
      <w:t>Crystals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E0F"/>
    <w:multiLevelType w:val="hybridMultilevel"/>
    <w:tmpl w:val="AA7A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47E5F"/>
    <w:multiLevelType w:val="multilevel"/>
    <w:tmpl w:val="43349E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5650CF"/>
    <w:multiLevelType w:val="multilevel"/>
    <w:tmpl w:val="43349E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F149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D54F0A"/>
    <w:multiLevelType w:val="hybridMultilevel"/>
    <w:tmpl w:val="DE2E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E151E"/>
    <w:multiLevelType w:val="hybridMultilevel"/>
    <w:tmpl w:val="946A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AC0D57"/>
    <w:multiLevelType w:val="hybridMultilevel"/>
    <w:tmpl w:val="052C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1447C"/>
    <w:multiLevelType w:val="multilevel"/>
    <w:tmpl w:val="43349E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BE092D"/>
    <w:multiLevelType w:val="hybridMultilevel"/>
    <w:tmpl w:val="599C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87F1B"/>
    <w:multiLevelType w:val="multilevel"/>
    <w:tmpl w:val="5FEC370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9271A9"/>
    <w:multiLevelType w:val="multilevel"/>
    <w:tmpl w:val="43349E8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176636"/>
    <w:multiLevelType w:val="hybridMultilevel"/>
    <w:tmpl w:val="DCDA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7"/>
  </w:num>
  <w:num w:numId="3">
    <w:abstractNumId w:val="11"/>
  </w:num>
  <w:num w:numId="4">
    <w:abstractNumId w:val="18"/>
  </w:num>
  <w:num w:numId="5">
    <w:abstractNumId w:val="8"/>
  </w:num>
  <w:num w:numId="6">
    <w:abstractNumId w:val="1"/>
  </w:num>
  <w:num w:numId="7">
    <w:abstractNumId w:val="17"/>
  </w:num>
  <w:num w:numId="8">
    <w:abstractNumId w:val="4"/>
  </w:num>
  <w:num w:numId="9">
    <w:abstractNumId w:val="13"/>
  </w:num>
  <w:num w:numId="10">
    <w:abstractNumId w:val="9"/>
  </w:num>
  <w:num w:numId="11">
    <w:abstractNumId w:val="5"/>
  </w:num>
  <w:num w:numId="12">
    <w:abstractNumId w:val="0"/>
  </w:num>
  <w:num w:numId="13">
    <w:abstractNumId w:val="6"/>
  </w:num>
  <w:num w:numId="14">
    <w:abstractNumId w:val="12"/>
  </w:num>
  <w:num w:numId="15">
    <w:abstractNumId w:val="15"/>
  </w:num>
  <w:num w:numId="16">
    <w:abstractNumId w:val="16"/>
  </w:num>
  <w:num w:numId="17">
    <w:abstractNumId w:val="19"/>
  </w:num>
  <w:num w:numId="18">
    <w:abstractNumId w:val="3"/>
  </w:num>
  <w:num w:numId="19">
    <w:abstractNumId w:val="14"/>
  </w:num>
  <w:num w:numId="20">
    <w:abstractNumId w:val="2"/>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5D46"/>
    <w:rsid w:val="00060970"/>
    <w:rsid w:val="00073C9F"/>
    <w:rsid w:val="000B48F6"/>
    <w:rsid w:val="000D50A2"/>
    <w:rsid w:val="000E3BBF"/>
    <w:rsid w:val="000F105A"/>
    <w:rsid w:val="0011018D"/>
    <w:rsid w:val="00115C69"/>
    <w:rsid w:val="00186F41"/>
    <w:rsid w:val="001D699F"/>
    <w:rsid w:val="001F0696"/>
    <w:rsid w:val="0020547D"/>
    <w:rsid w:val="00220EFC"/>
    <w:rsid w:val="0022518E"/>
    <w:rsid w:val="00273E0E"/>
    <w:rsid w:val="00274F8B"/>
    <w:rsid w:val="002A2E02"/>
    <w:rsid w:val="002C6B64"/>
    <w:rsid w:val="002E5D91"/>
    <w:rsid w:val="0030710F"/>
    <w:rsid w:val="00311C66"/>
    <w:rsid w:val="0031239D"/>
    <w:rsid w:val="00330870"/>
    <w:rsid w:val="0033355D"/>
    <w:rsid w:val="00336957"/>
    <w:rsid w:val="00367B08"/>
    <w:rsid w:val="00387202"/>
    <w:rsid w:val="003D1065"/>
    <w:rsid w:val="0040700B"/>
    <w:rsid w:val="00421A99"/>
    <w:rsid w:val="00427E41"/>
    <w:rsid w:val="004313F1"/>
    <w:rsid w:val="004B3295"/>
    <w:rsid w:val="004C3AFB"/>
    <w:rsid w:val="004D350D"/>
    <w:rsid w:val="00522BE5"/>
    <w:rsid w:val="00526D5C"/>
    <w:rsid w:val="00530EA0"/>
    <w:rsid w:val="005651D4"/>
    <w:rsid w:val="00585058"/>
    <w:rsid w:val="00591DA1"/>
    <w:rsid w:val="005A1CB9"/>
    <w:rsid w:val="005B1098"/>
    <w:rsid w:val="005B5B93"/>
    <w:rsid w:val="005B6DF3"/>
    <w:rsid w:val="005E245A"/>
    <w:rsid w:val="00623422"/>
    <w:rsid w:val="00631461"/>
    <w:rsid w:val="006435C0"/>
    <w:rsid w:val="00680F04"/>
    <w:rsid w:val="006A0208"/>
    <w:rsid w:val="006B663F"/>
    <w:rsid w:val="006C2FD8"/>
    <w:rsid w:val="006C43AC"/>
    <w:rsid w:val="006D29DB"/>
    <w:rsid w:val="006D40EC"/>
    <w:rsid w:val="00737BFA"/>
    <w:rsid w:val="00742BE0"/>
    <w:rsid w:val="007D2CD2"/>
    <w:rsid w:val="007F1782"/>
    <w:rsid w:val="008005D3"/>
    <w:rsid w:val="008559E2"/>
    <w:rsid w:val="008731EF"/>
    <w:rsid w:val="008841BA"/>
    <w:rsid w:val="00895072"/>
    <w:rsid w:val="008A0677"/>
    <w:rsid w:val="008C4B6E"/>
    <w:rsid w:val="008C56DA"/>
    <w:rsid w:val="008D240B"/>
    <w:rsid w:val="00900D64"/>
    <w:rsid w:val="00951BA4"/>
    <w:rsid w:val="00991C41"/>
    <w:rsid w:val="009B7CC4"/>
    <w:rsid w:val="009C280B"/>
    <w:rsid w:val="009C7C6B"/>
    <w:rsid w:val="00A171D1"/>
    <w:rsid w:val="00A25E93"/>
    <w:rsid w:val="00A46EF4"/>
    <w:rsid w:val="00A53214"/>
    <w:rsid w:val="00A6329F"/>
    <w:rsid w:val="00A6479E"/>
    <w:rsid w:val="00AB30F6"/>
    <w:rsid w:val="00B059E4"/>
    <w:rsid w:val="00B273F4"/>
    <w:rsid w:val="00B63CF4"/>
    <w:rsid w:val="00B8683E"/>
    <w:rsid w:val="00BB320D"/>
    <w:rsid w:val="00BB4667"/>
    <w:rsid w:val="00BF0CC6"/>
    <w:rsid w:val="00C0309C"/>
    <w:rsid w:val="00C203A5"/>
    <w:rsid w:val="00C22072"/>
    <w:rsid w:val="00C348DA"/>
    <w:rsid w:val="00C53EA6"/>
    <w:rsid w:val="00C700F2"/>
    <w:rsid w:val="00C8131C"/>
    <w:rsid w:val="00CA0DC1"/>
    <w:rsid w:val="00CD2070"/>
    <w:rsid w:val="00D00BEE"/>
    <w:rsid w:val="00D04DF5"/>
    <w:rsid w:val="00D62B2F"/>
    <w:rsid w:val="00D70F51"/>
    <w:rsid w:val="00D814BF"/>
    <w:rsid w:val="00D91357"/>
    <w:rsid w:val="00DB077C"/>
    <w:rsid w:val="00E05D4D"/>
    <w:rsid w:val="00E22809"/>
    <w:rsid w:val="00E3677A"/>
    <w:rsid w:val="00E52623"/>
    <w:rsid w:val="00E60298"/>
    <w:rsid w:val="00E87665"/>
    <w:rsid w:val="00E935C3"/>
    <w:rsid w:val="00E95538"/>
    <w:rsid w:val="00E962F9"/>
    <w:rsid w:val="00EA5B7E"/>
    <w:rsid w:val="00EB65E9"/>
    <w:rsid w:val="00EC31A9"/>
    <w:rsid w:val="00EE0E7D"/>
    <w:rsid w:val="00F4715E"/>
    <w:rsid w:val="00F53273"/>
    <w:rsid w:val="00F67121"/>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201BD"/>
  <w15:chartTrackingRefBased/>
  <w15:docId w15:val="{318E3DDF-BF1B-426D-A9B1-0F902756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E41"/>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951BA4"/>
    <w:pPr>
      <w:keepNext/>
      <w:numPr>
        <w:numId w:val="1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951BA4"/>
    <w:pPr>
      <w:keepNext/>
      <w:numPr>
        <w:ilvl w:val="1"/>
        <w:numId w:val="1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951BA4"/>
    <w:pPr>
      <w:keepNext/>
      <w:numPr>
        <w:ilvl w:val="2"/>
        <w:numId w:val="1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951BA4"/>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51BA4"/>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51BA4"/>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51BA4"/>
    <w:pPr>
      <w:numPr>
        <w:ilvl w:val="6"/>
        <w:numId w:val="1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951BA4"/>
    <w:pPr>
      <w:numPr>
        <w:ilvl w:val="7"/>
        <w:numId w:val="1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951BA4"/>
    <w:pPr>
      <w:numPr>
        <w:ilvl w:val="8"/>
        <w:numId w:val="1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Heading1Char">
    <w:name w:val="Heading 1 Char"/>
    <w:link w:val="Heading1"/>
    <w:rsid w:val="00951BA4"/>
    <w:rPr>
      <w:rFonts w:ascii="Calibri Light" w:eastAsia="Times New Roman" w:hAnsi="Calibri Light" w:cs="Times New Roman"/>
      <w:b/>
      <w:bCs/>
      <w:kern w:val="32"/>
      <w:sz w:val="32"/>
      <w:szCs w:val="32"/>
    </w:rPr>
  </w:style>
  <w:style w:type="character" w:customStyle="1" w:styleId="Heading2Char">
    <w:name w:val="Heading 2 Char"/>
    <w:link w:val="Heading2"/>
    <w:rsid w:val="00951BA4"/>
    <w:rPr>
      <w:rFonts w:ascii="Calibri Light" w:eastAsia="Times New Roman" w:hAnsi="Calibri Light" w:cs="Times New Roman"/>
      <w:b/>
      <w:bCs/>
      <w:i/>
      <w:iCs/>
      <w:sz w:val="28"/>
      <w:szCs w:val="28"/>
    </w:rPr>
  </w:style>
  <w:style w:type="character" w:customStyle="1" w:styleId="Heading3Char">
    <w:name w:val="Heading 3 Char"/>
    <w:link w:val="Heading3"/>
    <w:rsid w:val="00951BA4"/>
    <w:rPr>
      <w:rFonts w:ascii="Calibri Light" w:eastAsia="Times New Roman" w:hAnsi="Calibri Light" w:cs="Times New Roman"/>
      <w:b/>
      <w:bCs/>
      <w:sz w:val="26"/>
      <w:szCs w:val="26"/>
    </w:rPr>
  </w:style>
  <w:style w:type="character" w:customStyle="1" w:styleId="Heading4Char">
    <w:name w:val="Heading 4 Char"/>
    <w:link w:val="Heading4"/>
    <w:semiHidden/>
    <w:rsid w:val="00951BA4"/>
    <w:rPr>
      <w:rFonts w:ascii="Calibri" w:eastAsia="Times New Roman" w:hAnsi="Calibri" w:cs="Times New Roman"/>
      <w:b/>
      <w:bCs/>
      <w:sz w:val="28"/>
      <w:szCs w:val="28"/>
    </w:rPr>
  </w:style>
  <w:style w:type="character" w:customStyle="1" w:styleId="Heading5Char">
    <w:name w:val="Heading 5 Char"/>
    <w:link w:val="Heading5"/>
    <w:semiHidden/>
    <w:rsid w:val="00951BA4"/>
    <w:rPr>
      <w:rFonts w:ascii="Calibri" w:eastAsia="Times New Roman" w:hAnsi="Calibri" w:cs="Times New Roman"/>
      <w:b/>
      <w:bCs/>
      <w:i/>
      <w:iCs/>
      <w:sz w:val="26"/>
      <w:szCs w:val="26"/>
    </w:rPr>
  </w:style>
  <w:style w:type="character" w:customStyle="1" w:styleId="Heading6Char">
    <w:name w:val="Heading 6 Char"/>
    <w:link w:val="Heading6"/>
    <w:semiHidden/>
    <w:rsid w:val="00951BA4"/>
    <w:rPr>
      <w:rFonts w:ascii="Calibri" w:eastAsia="Times New Roman" w:hAnsi="Calibri" w:cs="Times New Roman"/>
      <w:b/>
      <w:bCs/>
      <w:sz w:val="22"/>
      <w:szCs w:val="22"/>
    </w:rPr>
  </w:style>
  <w:style w:type="character" w:customStyle="1" w:styleId="Heading7Char">
    <w:name w:val="Heading 7 Char"/>
    <w:link w:val="Heading7"/>
    <w:semiHidden/>
    <w:rsid w:val="00951BA4"/>
    <w:rPr>
      <w:rFonts w:ascii="Calibri" w:eastAsia="Times New Roman" w:hAnsi="Calibri" w:cs="Times New Roman"/>
      <w:sz w:val="24"/>
      <w:szCs w:val="24"/>
    </w:rPr>
  </w:style>
  <w:style w:type="character" w:customStyle="1" w:styleId="Heading8Char">
    <w:name w:val="Heading 8 Char"/>
    <w:link w:val="Heading8"/>
    <w:semiHidden/>
    <w:rsid w:val="00951BA4"/>
    <w:rPr>
      <w:rFonts w:ascii="Calibri" w:eastAsia="Times New Roman" w:hAnsi="Calibri" w:cs="Times New Roman"/>
      <w:i/>
      <w:iCs/>
      <w:sz w:val="24"/>
      <w:szCs w:val="24"/>
    </w:rPr>
  </w:style>
  <w:style w:type="character" w:customStyle="1" w:styleId="Heading9Char">
    <w:name w:val="Heading 9 Char"/>
    <w:link w:val="Heading9"/>
    <w:semiHidden/>
    <w:rsid w:val="00951BA4"/>
    <w:rPr>
      <w:rFonts w:ascii="Calibri Light" w:eastAsia="Times New Roman" w:hAnsi="Calibri Light" w:cs="Times New Roman"/>
      <w:sz w:val="22"/>
      <w:szCs w:val="22"/>
    </w:rPr>
  </w:style>
  <w:style w:type="paragraph" w:styleId="BalloonText">
    <w:name w:val="Balloon Text"/>
    <w:basedOn w:val="Normal"/>
    <w:link w:val="BalloonTextChar"/>
    <w:rsid w:val="002C6B64"/>
    <w:rPr>
      <w:rFonts w:ascii="Segoe UI" w:hAnsi="Segoe UI" w:cs="Segoe UI"/>
      <w:sz w:val="18"/>
      <w:szCs w:val="18"/>
    </w:rPr>
  </w:style>
  <w:style w:type="character" w:customStyle="1" w:styleId="BalloonTextChar">
    <w:name w:val="Balloon Text Char"/>
    <w:basedOn w:val="DefaultParagraphFont"/>
    <w:link w:val="BalloonText"/>
    <w:rsid w:val="002C6B64"/>
    <w:rPr>
      <w:rFonts w:ascii="Segoe UI" w:hAnsi="Segoe UI" w:cs="Segoe UI"/>
      <w:sz w:val="18"/>
      <w:szCs w:val="18"/>
    </w:rPr>
  </w:style>
  <w:style w:type="paragraph" w:styleId="ListParagraph">
    <w:name w:val="List Paragraph"/>
    <w:basedOn w:val="Normal"/>
    <w:uiPriority w:val="34"/>
    <w:qFormat/>
    <w:rsid w:val="00427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DBA1E-42C4-4BC4-8310-A905D982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151</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5565</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Dave Dulanski</cp:lastModifiedBy>
  <cp:revision>24</cp:revision>
  <cp:lastPrinted>2020-04-28T13:32:00Z</cp:lastPrinted>
  <dcterms:created xsi:type="dcterms:W3CDTF">2020-03-27T12:29:00Z</dcterms:created>
  <dcterms:modified xsi:type="dcterms:W3CDTF">2020-08-05T12:30:00Z</dcterms:modified>
</cp:coreProperties>
</file>