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02" w:rsidRDefault="00A46E02" w:rsidP="00A46E02">
      <w:pPr>
        <w:rPr>
          <w:rFonts w:ascii="Arial" w:hAnsi="Arial" w:cs="Arial"/>
          <w:sz w:val="24"/>
          <w:szCs w:val="24"/>
        </w:rPr>
      </w:pPr>
    </w:p>
    <w:p w:rsidR="00E2370B" w:rsidRDefault="00B33073" w:rsidP="00E2370B">
      <w:r>
        <w:rPr>
          <w:rFonts w:ascii="Arial" w:hAnsi="Arial" w:cs="Arial"/>
          <w:sz w:val="24"/>
          <w:szCs w:val="24"/>
        </w:rPr>
        <w:t xml:space="preserve">Recalibration Guidelines:  </w:t>
      </w:r>
      <w:r>
        <w:t>All RMAs for L&amp;T are dependent on the quantity to which both the customer will be sending in and to what is already in house.</w:t>
      </w:r>
      <w:r w:rsidR="00E2370B">
        <w:t xml:space="preserve">  All RMAs are given a promise date </w:t>
      </w:r>
      <w:r w:rsidR="00680B15">
        <w:t xml:space="preserve">upon receipt to Load and Torque logistics department.  The promise date is to be viewed as the due date in which the RMA must be </w:t>
      </w:r>
      <w:r w:rsidR="00680B15" w:rsidRPr="001775BC">
        <w:rPr>
          <w:b/>
          <w:u w:val="single"/>
        </w:rPr>
        <w:t xml:space="preserve">evaluated </w:t>
      </w:r>
      <w:r w:rsidR="00680B15">
        <w:t xml:space="preserve">by.   The promise date will </w:t>
      </w:r>
      <w:r w:rsidR="00505EE6">
        <w:t>follow the below guidelines:</w:t>
      </w:r>
    </w:p>
    <w:p w:rsidR="00B33073" w:rsidRPr="00B33073" w:rsidRDefault="00B33073" w:rsidP="00B33073">
      <w:pPr>
        <w:pStyle w:val="ListParagraph"/>
        <w:numPr>
          <w:ilvl w:val="0"/>
          <w:numId w:val="4"/>
        </w:numPr>
        <w:rPr>
          <w:rFonts w:ascii="Arial" w:hAnsi="Arial" w:cs="Arial"/>
          <w:sz w:val="24"/>
          <w:szCs w:val="24"/>
        </w:rPr>
      </w:pPr>
      <w:r>
        <w:t xml:space="preserve">Most L&amp;T models have a two </w:t>
      </w:r>
      <w:r w:rsidR="00E3416B">
        <w:t>week (</w:t>
      </w:r>
      <w:r>
        <w:t>10 business days) turn-around with the exception of Torque Sensors being three weeks (15 business days).  Torque sensor models below.</w:t>
      </w:r>
      <w:bookmarkStart w:id="0" w:name="_GoBack"/>
      <w:bookmarkEnd w:id="0"/>
    </w:p>
    <w:p w:rsidR="00B33073" w:rsidRDefault="00B33073" w:rsidP="00B33073">
      <w:pPr>
        <w:pStyle w:val="ListParagraph"/>
        <w:ind w:left="2160"/>
        <w:rPr>
          <w:rFonts w:ascii="Arial" w:hAnsi="Arial" w:cs="Arial"/>
          <w:sz w:val="24"/>
          <w:szCs w:val="24"/>
        </w:rPr>
      </w:pPr>
    </w:p>
    <w:p w:rsidR="00B33073" w:rsidRPr="00B33073" w:rsidRDefault="00B33073" w:rsidP="00B33073">
      <w:pPr>
        <w:pStyle w:val="ListParagraph"/>
        <w:numPr>
          <w:ilvl w:val="0"/>
          <w:numId w:val="6"/>
        </w:numPr>
        <w:rPr>
          <w:rFonts w:ascii="Arial" w:hAnsi="Arial" w:cs="Arial"/>
          <w:sz w:val="24"/>
          <w:szCs w:val="24"/>
        </w:rPr>
      </w:pPr>
      <w:r w:rsidRPr="00B33073">
        <w:t>4102-4107</w:t>
      </w:r>
      <w:r w:rsidR="00E92CE6">
        <w:t xml:space="preserve"> =</w:t>
      </w:r>
      <w:r w:rsidRPr="00B33073">
        <w:t xml:space="preserve"> 3 weeks</w:t>
      </w:r>
    </w:p>
    <w:p w:rsidR="00B33073" w:rsidRPr="00B33073" w:rsidRDefault="00B33073" w:rsidP="00B33073">
      <w:pPr>
        <w:pStyle w:val="ListParagraph"/>
        <w:numPr>
          <w:ilvl w:val="0"/>
          <w:numId w:val="6"/>
        </w:numPr>
      </w:pPr>
      <w:r w:rsidRPr="00B33073">
        <w:t>4203-4207 =</w:t>
      </w:r>
      <w:r w:rsidR="00E92CE6">
        <w:t xml:space="preserve"> </w:t>
      </w:r>
      <w:r w:rsidRPr="00B33073">
        <w:t>3 weeks</w:t>
      </w:r>
    </w:p>
    <w:p w:rsidR="00B33073" w:rsidRPr="00B33073" w:rsidRDefault="00B33073" w:rsidP="00B33073">
      <w:pPr>
        <w:pStyle w:val="ListParagraph"/>
        <w:numPr>
          <w:ilvl w:val="0"/>
          <w:numId w:val="6"/>
        </w:numPr>
      </w:pPr>
      <w:r w:rsidRPr="00B33073">
        <w:t>4115K</w:t>
      </w:r>
      <w:r w:rsidR="00E92CE6">
        <w:t xml:space="preserve"> </w:t>
      </w:r>
      <w:r w:rsidRPr="00B33073">
        <w:t>= 3 weeks</w:t>
      </w:r>
    </w:p>
    <w:p w:rsidR="00B33073" w:rsidRPr="00B33073" w:rsidRDefault="00B33073" w:rsidP="00B33073">
      <w:pPr>
        <w:pStyle w:val="ListParagraph"/>
        <w:numPr>
          <w:ilvl w:val="0"/>
          <w:numId w:val="6"/>
        </w:numPr>
      </w:pPr>
      <w:r w:rsidRPr="00B33073">
        <w:t>4115A</w:t>
      </w:r>
      <w:r w:rsidR="00E92CE6">
        <w:t xml:space="preserve"> </w:t>
      </w:r>
      <w:r w:rsidRPr="00B33073">
        <w:t>= 3 weeks</w:t>
      </w:r>
    </w:p>
    <w:p w:rsidR="00B33073" w:rsidRPr="00B33073" w:rsidRDefault="00B33073" w:rsidP="00B33073">
      <w:pPr>
        <w:pStyle w:val="ListParagraph"/>
        <w:numPr>
          <w:ilvl w:val="0"/>
          <w:numId w:val="6"/>
        </w:numPr>
      </w:pPr>
      <w:r w:rsidRPr="00B33073">
        <w:t>5302, 5308, 5309, 5310</w:t>
      </w:r>
      <w:r w:rsidR="00E92CE6">
        <w:t xml:space="preserve"> </w:t>
      </w:r>
      <w:r w:rsidRPr="00B33073">
        <w:t>= 3 weeks</w:t>
      </w:r>
    </w:p>
    <w:p w:rsidR="00B33073" w:rsidRPr="00B33073" w:rsidRDefault="00B33073" w:rsidP="00B33073">
      <w:pPr>
        <w:pStyle w:val="ListParagraph"/>
        <w:numPr>
          <w:ilvl w:val="0"/>
          <w:numId w:val="6"/>
        </w:numPr>
      </w:pPr>
      <w:r w:rsidRPr="00B33073">
        <w:t>2526</w:t>
      </w:r>
      <w:r w:rsidR="00E92CE6">
        <w:t xml:space="preserve"> </w:t>
      </w:r>
      <w:r w:rsidRPr="00B33073">
        <w:t>= 3 weeks</w:t>
      </w:r>
    </w:p>
    <w:p w:rsidR="00B33073" w:rsidRDefault="00B33073" w:rsidP="00B33073">
      <w:pPr>
        <w:pStyle w:val="ListParagraph"/>
        <w:numPr>
          <w:ilvl w:val="0"/>
          <w:numId w:val="6"/>
        </w:numPr>
      </w:pPr>
      <w:r w:rsidRPr="00B33073">
        <w:t>2525</w:t>
      </w:r>
      <w:r w:rsidR="00E92CE6">
        <w:t xml:space="preserve"> </w:t>
      </w:r>
      <w:r w:rsidRPr="00B33073">
        <w:t>= 3 weeks</w:t>
      </w:r>
    </w:p>
    <w:p w:rsidR="00F154DF" w:rsidRDefault="00F154DF" w:rsidP="00F154DF">
      <w:pPr>
        <w:pStyle w:val="ListParagraph"/>
        <w:ind w:left="2880"/>
      </w:pPr>
    </w:p>
    <w:p w:rsidR="00B33073" w:rsidRDefault="00F154DF" w:rsidP="00B33073">
      <w:pPr>
        <w:pStyle w:val="ListParagraph"/>
        <w:numPr>
          <w:ilvl w:val="0"/>
          <w:numId w:val="4"/>
        </w:numPr>
      </w:pPr>
      <w:r>
        <w:t>Quantities (3) or less should not usually require confirmation with Farmington to check turn-around time.</w:t>
      </w:r>
    </w:p>
    <w:p w:rsidR="00F154DF" w:rsidRDefault="00F154DF" w:rsidP="00F154DF">
      <w:pPr>
        <w:pStyle w:val="ListParagraph"/>
      </w:pPr>
    </w:p>
    <w:p w:rsidR="00F154DF" w:rsidRDefault="00F154DF" w:rsidP="00F154DF">
      <w:pPr>
        <w:pStyle w:val="ListParagraph"/>
        <w:numPr>
          <w:ilvl w:val="0"/>
          <w:numId w:val="4"/>
        </w:numPr>
      </w:pPr>
      <w:r>
        <w:t>Quantities of (4) or greater should be run by service to confirm we can still accommodate the “standard” delivery.</w:t>
      </w:r>
    </w:p>
    <w:p w:rsidR="00F154DF" w:rsidRDefault="00F154DF" w:rsidP="00F154DF">
      <w:pPr>
        <w:pStyle w:val="ListParagraph"/>
      </w:pPr>
    </w:p>
    <w:p w:rsidR="00F154DF" w:rsidRPr="00F154DF" w:rsidRDefault="00F154DF" w:rsidP="00F154DF">
      <w:pPr>
        <w:pStyle w:val="ListParagraph"/>
        <w:numPr>
          <w:ilvl w:val="0"/>
          <w:numId w:val="4"/>
        </w:numPr>
      </w:pPr>
      <w:r>
        <w:t>It is up to the CSR to check the RMA Receiver once it is given to them and confirm the RMA Promise Date is what they are expecting.  This will allow ample time to address the completion date</w:t>
      </w:r>
      <w:r w:rsidR="00A66880">
        <w:t>,</w:t>
      </w:r>
      <w:r>
        <w:t xml:space="preserve"> and not have to deal with it when it is already seen as past due by the CSR.  </w:t>
      </w:r>
      <w:r>
        <w:rPr>
          <w:b/>
        </w:rPr>
        <w:t>If the Promise Date does not meet the customer or the CSR expectation, contact the Operations Manager.</w:t>
      </w:r>
    </w:p>
    <w:p w:rsidR="00F154DF" w:rsidRDefault="00F154DF" w:rsidP="00F154DF">
      <w:pPr>
        <w:pStyle w:val="ListParagraph"/>
      </w:pPr>
    </w:p>
    <w:p w:rsidR="00F154DF" w:rsidRDefault="00F154DF" w:rsidP="00F154DF">
      <w:pPr>
        <w:pStyle w:val="ListParagraph"/>
        <w:numPr>
          <w:ilvl w:val="0"/>
          <w:numId w:val="4"/>
        </w:numPr>
      </w:pPr>
      <w:r>
        <w:t>Any escalations need to be approved by Operations Manager.</w:t>
      </w:r>
    </w:p>
    <w:p w:rsidR="00CE371D" w:rsidRDefault="00CE371D" w:rsidP="00CE371D">
      <w:pPr>
        <w:pStyle w:val="ListParagraph"/>
      </w:pPr>
    </w:p>
    <w:p w:rsidR="00CE371D" w:rsidRPr="00B33073" w:rsidRDefault="00CE371D" w:rsidP="00F154DF">
      <w:pPr>
        <w:pStyle w:val="ListParagraph"/>
        <w:numPr>
          <w:ilvl w:val="0"/>
          <w:numId w:val="4"/>
        </w:numPr>
      </w:pPr>
      <w:r>
        <w:t>If for any reason these lead times cannot be met by the repair department, an amendment to the RMA will be made.  This amendment will include a detailed explanation of the reason for the delay.  The CSR that is associated to the RMA will be notified by email that a change has been made.</w:t>
      </w:r>
    </w:p>
    <w:sectPr w:rsidR="00CE371D" w:rsidRPr="00B330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E6" w:rsidRDefault="00505EE6" w:rsidP="00EA07B2">
      <w:pPr>
        <w:spacing w:after="0" w:line="240" w:lineRule="auto"/>
      </w:pPr>
      <w:r>
        <w:separator/>
      </w:r>
    </w:p>
  </w:endnote>
  <w:endnote w:type="continuationSeparator" w:id="0">
    <w:p w:rsidR="00505EE6" w:rsidRDefault="00505EE6" w:rsidP="00EA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EE6" w:rsidRDefault="00505EE6">
    <w:pPr>
      <w:pStyle w:val="Footer"/>
    </w:pPr>
    <w:r>
      <w:t>LT1018</w:t>
    </w:r>
    <w:r>
      <w:ptab w:relativeTo="margin" w:alignment="center" w:leader="none"/>
    </w:r>
    <w:r>
      <w:t>6/1/15</w:t>
    </w:r>
    <w:r>
      <w:ptab w:relativeTo="margin" w:alignment="right" w:leader="none"/>
    </w:r>
    <w:r>
      <w:t>Rev NR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E6" w:rsidRDefault="00505EE6" w:rsidP="00EA07B2">
      <w:pPr>
        <w:spacing w:after="0" w:line="240" w:lineRule="auto"/>
      </w:pPr>
      <w:r>
        <w:separator/>
      </w:r>
    </w:p>
  </w:footnote>
  <w:footnote w:type="continuationSeparator" w:id="0">
    <w:p w:rsidR="00505EE6" w:rsidRDefault="00505EE6" w:rsidP="00EA0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15" w:rsidRDefault="004F6315" w:rsidP="004F6315">
    <w:pPr>
      <w:pStyle w:val="Header"/>
    </w:pPr>
    <w:r>
      <w:rPr>
        <w:noProof/>
      </w:rPr>
      <w:drawing>
        <wp:anchor distT="0" distB="0" distL="114300" distR="114300" simplePos="0" relativeHeight="251658240" behindDoc="0" locked="0" layoutInCell="1" allowOverlap="1">
          <wp:simplePos x="0" y="0"/>
          <wp:positionH relativeFrom="column">
            <wp:posOffset>4252595</wp:posOffset>
          </wp:positionH>
          <wp:positionV relativeFrom="paragraph">
            <wp:posOffset>-52705</wp:posOffset>
          </wp:positionV>
          <wp:extent cx="1905000" cy="514350"/>
          <wp:effectExtent l="0" t="0" r="0" b="0"/>
          <wp:wrapSquare wrapText="bothSides"/>
          <wp:docPr id="3" name="Picture 3"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19425" cy="517525"/>
          <wp:effectExtent l="0" t="0" r="0" b="0"/>
          <wp:docPr id="2" name="Picture 2" descr="C:\Users\lpellens\AppData\Local\Microsoft\Windows\Temporary Internet Files\Content.Outlook\S2U6V86X\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ellens\AppData\Local\Microsoft\Windows\Temporary Internet Files\Content.Outlook\S2U6V86X\L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9425" cy="517525"/>
                  </a:xfrm>
                  <a:prstGeom prst="rect">
                    <a:avLst/>
                  </a:prstGeom>
                  <a:noFill/>
                  <a:ln>
                    <a:noFill/>
                  </a:ln>
                </pic:spPr>
              </pic:pic>
            </a:graphicData>
          </a:graphic>
        </wp:inline>
      </w:drawing>
    </w:r>
  </w:p>
  <w:p w:rsidR="004F6315" w:rsidRDefault="004F6315" w:rsidP="004F6315">
    <w:pPr>
      <w:pStyle w:val="Header"/>
    </w:pPr>
  </w:p>
  <w:p w:rsidR="004F6315" w:rsidRDefault="004F6315" w:rsidP="004F6315">
    <w:pPr>
      <w:pStyle w:val="Header"/>
    </w:pPr>
  </w:p>
  <w:p w:rsidR="004F6315" w:rsidRPr="004F6315" w:rsidRDefault="004F6315" w:rsidP="004F6315">
    <w:pPr>
      <w:pStyle w:val="Header"/>
      <w:jc w:val="center"/>
      <w:rPr>
        <w:sz w:val="36"/>
        <w:szCs w:val="36"/>
      </w:rPr>
    </w:pPr>
    <w:r w:rsidRPr="004F6315">
      <w:rPr>
        <w:sz w:val="36"/>
        <w:szCs w:val="36"/>
      </w:rPr>
      <w:t>Recalibration and Repair Lead Time Sheet – Load &amp; Torque</w:t>
    </w:r>
  </w:p>
  <w:p w:rsidR="004F6315" w:rsidRPr="004F6315" w:rsidRDefault="004F6315" w:rsidP="004F6315">
    <w:pPr>
      <w:pStyle w:val="Header"/>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A76"/>
    <w:multiLevelType w:val="hybridMultilevel"/>
    <w:tmpl w:val="E30A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770"/>
    <w:multiLevelType w:val="hybridMultilevel"/>
    <w:tmpl w:val="BA5AB51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37C1D2A"/>
    <w:multiLevelType w:val="hybridMultilevel"/>
    <w:tmpl w:val="29DA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53B80"/>
    <w:multiLevelType w:val="hybridMultilevel"/>
    <w:tmpl w:val="D30E5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377BAB"/>
    <w:multiLevelType w:val="hybridMultilevel"/>
    <w:tmpl w:val="623E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E77524"/>
    <w:multiLevelType w:val="hybridMultilevel"/>
    <w:tmpl w:val="6AE42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A430A3"/>
    <w:multiLevelType w:val="hybridMultilevel"/>
    <w:tmpl w:val="1D1AC35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7C16D7E"/>
    <w:multiLevelType w:val="hybridMultilevel"/>
    <w:tmpl w:val="B09A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02"/>
    <w:rsid w:val="00090DA2"/>
    <w:rsid w:val="001775BC"/>
    <w:rsid w:val="004F6315"/>
    <w:rsid w:val="00505EE6"/>
    <w:rsid w:val="00680B15"/>
    <w:rsid w:val="006E0413"/>
    <w:rsid w:val="00711E8E"/>
    <w:rsid w:val="009E48AF"/>
    <w:rsid w:val="00A46E02"/>
    <w:rsid w:val="00A66880"/>
    <w:rsid w:val="00B33073"/>
    <w:rsid w:val="00CE371D"/>
    <w:rsid w:val="00E2370B"/>
    <w:rsid w:val="00E3416B"/>
    <w:rsid w:val="00E92CE6"/>
    <w:rsid w:val="00EA07B2"/>
    <w:rsid w:val="00F1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02"/>
    <w:pPr>
      <w:ind w:left="720"/>
      <w:contextualSpacing/>
    </w:pPr>
  </w:style>
  <w:style w:type="paragraph" w:styleId="Header">
    <w:name w:val="header"/>
    <w:basedOn w:val="Normal"/>
    <w:link w:val="HeaderChar"/>
    <w:uiPriority w:val="99"/>
    <w:unhideWhenUsed/>
    <w:rsid w:val="00EA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B2"/>
  </w:style>
  <w:style w:type="paragraph" w:styleId="Footer">
    <w:name w:val="footer"/>
    <w:basedOn w:val="Normal"/>
    <w:link w:val="FooterChar"/>
    <w:uiPriority w:val="99"/>
    <w:unhideWhenUsed/>
    <w:rsid w:val="00EA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B2"/>
  </w:style>
  <w:style w:type="paragraph" w:styleId="BalloonText">
    <w:name w:val="Balloon Text"/>
    <w:basedOn w:val="Normal"/>
    <w:link w:val="BalloonTextChar"/>
    <w:uiPriority w:val="99"/>
    <w:semiHidden/>
    <w:unhideWhenUsed/>
    <w:rsid w:val="00EA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02"/>
    <w:pPr>
      <w:ind w:left="720"/>
      <w:contextualSpacing/>
    </w:pPr>
  </w:style>
  <w:style w:type="paragraph" w:styleId="Header">
    <w:name w:val="header"/>
    <w:basedOn w:val="Normal"/>
    <w:link w:val="HeaderChar"/>
    <w:uiPriority w:val="99"/>
    <w:unhideWhenUsed/>
    <w:rsid w:val="00EA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B2"/>
  </w:style>
  <w:style w:type="paragraph" w:styleId="Footer">
    <w:name w:val="footer"/>
    <w:basedOn w:val="Normal"/>
    <w:link w:val="FooterChar"/>
    <w:uiPriority w:val="99"/>
    <w:unhideWhenUsed/>
    <w:rsid w:val="00EA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B2"/>
  </w:style>
  <w:style w:type="paragraph" w:styleId="BalloonText">
    <w:name w:val="Balloon Text"/>
    <w:basedOn w:val="Normal"/>
    <w:link w:val="BalloonTextChar"/>
    <w:uiPriority w:val="99"/>
    <w:semiHidden/>
    <w:unhideWhenUsed/>
    <w:rsid w:val="00EA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9700">
      <w:bodyDiv w:val="1"/>
      <w:marLeft w:val="0"/>
      <w:marRight w:val="0"/>
      <w:marTop w:val="0"/>
      <w:marBottom w:val="0"/>
      <w:divBdr>
        <w:top w:val="none" w:sz="0" w:space="0" w:color="auto"/>
        <w:left w:val="none" w:sz="0" w:space="0" w:color="auto"/>
        <w:bottom w:val="none" w:sz="0" w:space="0" w:color="auto"/>
        <w:right w:val="none" w:sz="0" w:space="0" w:color="auto"/>
      </w:divBdr>
    </w:div>
    <w:div w:id="618337175">
      <w:bodyDiv w:val="1"/>
      <w:marLeft w:val="0"/>
      <w:marRight w:val="0"/>
      <w:marTop w:val="0"/>
      <w:marBottom w:val="0"/>
      <w:divBdr>
        <w:top w:val="none" w:sz="0" w:space="0" w:color="auto"/>
        <w:left w:val="none" w:sz="0" w:space="0" w:color="auto"/>
        <w:bottom w:val="none" w:sz="0" w:space="0" w:color="auto"/>
        <w:right w:val="none" w:sz="0" w:space="0" w:color="auto"/>
      </w:divBdr>
    </w:div>
    <w:div w:id="818426072">
      <w:bodyDiv w:val="1"/>
      <w:marLeft w:val="0"/>
      <w:marRight w:val="0"/>
      <w:marTop w:val="0"/>
      <w:marBottom w:val="0"/>
      <w:divBdr>
        <w:top w:val="none" w:sz="0" w:space="0" w:color="auto"/>
        <w:left w:val="none" w:sz="0" w:space="0" w:color="auto"/>
        <w:bottom w:val="none" w:sz="0" w:space="0" w:color="auto"/>
        <w:right w:val="none" w:sz="0" w:space="0" w:color="auto"/>
      </w:divBdr>
    </w:div>
    <w:div w:id="1132820017">
      <w:bodyDiv w:val="1"/>
      <w:marLeft w:val="0"/>
      <w:marRight w:val="0"/>
      <w:marTop w:val="0"/>
      <w:marBottom w:val="0"/>
      <w:divBdr>
        <w:top w:val="none" w:sz="0" w:space="0" w:color="auto"/>
        <w:left w:val="none" w:sz="0" w:space="0" w:color="auto"/>
        <w:bottom w:val="none" w:sz="0" w:space="0" w:color="auto"/>
        <w:right w:val="none" w:sz="0" w:space="0" w:color="auto"/>
      </w:divBdr>
    </w:div>
    <w:div w:id="1636182238">
      <w:bodyDiv w:val="1"/>
      <w:marLeft w:val="0"/>
      <w:marRight w:val="0"/>
      <w:marTop w:val="0"/>
      <w:marBottom w:val="0"/>
      <w:divBdr>
        <w:top w:val="none" w:sz="0" w:space="0" w:color="auto"/>
        <w:left w:val="none" w:sz="0" w:space="0" w:color="auto"/>
        <w:bottom w:val="none" w:sz="0" w:space="0" w:color="auto"/>
        <w:right w:val="none" w:sz="0" w:space="0" w:color="auto"/>
      </w:divBdr>
    </w:div>
    <w:div w:id="20566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Pellens</dc:creator>
  <cp:lastModifiedBy>Cheryl Ernst</cp:lastModifiedBy>
  <cp:revision>6</cp:revision>
  <dcterms:created xsi:type="dcterms:W3CDTF">2015-06-01T16:55:00Z</dcterms:created>
  <dcterms:modified xsi:type="dcterms:W3CDTF">2015-06-10T13:27:00Z</dcterms:modified>
</cp:coreProperties>
</file>