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02" w:rsidRDefault="00114A26" w:rsidP="00114A26">
      <w:pPr>
        <w:numPr>
          <w:ilvl w:val="0"/>
          <w:numId w:val="7"/>
        </w:numPr>
        <w:rPr>
          <w:sz w:val="24"/>
          <w:szCs w:val="24"/>
        </w:rPr>
      </w:pPr>
      <w:r>
        <w:rPr>
          <w:sz w:val="24"/>
          <w:szCs w:val="24"/>
        </w:rPr>
        <w:t>Obtain a Request for Certification Form, RA001</w:t>
      </w:r>
      <w:r w:rsidR="000542BC">
        <w:rPr>
          <w:sz w:val="24"/>
          <w:szCs w:val="24"/>
        </w:rPr>
        <w:t xml:space="preserve"> </w:t>
      </w:r>
      <w:r w:rsidR="000542BC">
        <w:rPr>
          <w:color w:val="FF0000"/>
          <w:sz w:val="24"/>
          <w:szCs w:val="24"/>
        </w:rPr>
        <w:t>or Form Folder in Outlook.</w:t>
      </w:r>
    </w:p>
    <w:p w:rsidR="00114A26" w:rsidRDefault="00114A26" w:rsidP="00114A26">
      <w:pPr>
        <w:numPr>
          <w:ilvl w:val="0"/>
          <w:numId w:val="7"/>
        </w:numPr>
        <w:rPr>
          <w:sz w:val="24"/>
          <w:szCs w:val="24"/>
        </w:rPr>
      </w:pPr>
      <w:r>
        <w:rPr>
          <w:sz w:val="24"/>
          <w:szCs w:val="24"/>
        </w:rPr>
        <w:t xml:space="preserve">Fill in Model Number(s), Countries to be covered, and </w:t>
      </w:r>
      <w:r w:rsidR="000542BC">
        <w:rPr>
          <w:color w:val="FF0000"/>
          <w:sz w:val="24"/>
          <w:szCs w:val="24"/>
        </w:rPr>
        <w:t>contact information</w:t>
      </w:r>
      <w:r w:rsidR="0016628D">
        <w:rPr>
          <w:sz w:val="24"/>
          <w:szCs w:val="24"/>
        </w:rPr>
        <w:t xml:space="preserve">, with as much </w:t>
      </w:r>
      <w:r w:rsidR="000542BC">
        <w:rPr>
          <w:color w:val="FF0000"/>
          <w:sz w:val="24"/>
          <w:szCs w:val="24"/>
        </w:rPr>
        <w:t xml:space="preserve">other </w:t>
      </w:r>
      <w:r w:rsidR="0016628D">
        <w:rPr>
          <w:sz w:val="24"/>
          <w:szCs w:val="24"/>
        </w:rPr>
        <w:t>available information as possible.</w:t>
      </w:r>
    </w:p>
    <w:p w:rsidR="005412BA" w:rsidRDefault="005412BA" w:rsidP="00114A26">
      <w:pPr>
        <w:numPr>
          <w:ilvl w:val="0"/>
          <w:numId w:val="7"/>
        </w:numPr>
        <w:rPr>
          <w:sz w:val="24"/>
          <w:szCs w:val="24"/>
        </w:rPr>
      </w:pPr>
      <w:r>
        <w:rPr>
          <w:color w:val="FF0000"/>
          <w:sz w:val="24"/>
          <w:szCs w:val="24"/>
        </w:rPr>
        <w:t>If only requesting CE Marking, Form EN039 can be used in place of or in addition to RA001 or Outlook Form.</w:t>
      </w:r>
    </w:p>
    <w:p w:rsidR="0016628D" w:rsidRDefault="0016628D" w:rsidP="00114A26">
      <w:pPr>
        <w:numPr>
          <w:ilvl w:val="0"/>
          <w:numId w:val="7"/>
        </w:numPr>
        <w:rPr>
          <w:sz w:val="24"/>
          <w:szCs w:val="24"/>
        </w:rPr>
      </w:pPr>
      <w:r>
        <w:rPr>
          <w:sz w:val="24"/>
          <w:szCs w:val="24"/>
        </w:rPr>
        <w:t>Forward the Form</w:t>
      </w:r>
      <w:r w:rsidR="005412BA" w:rsidRPr="005412BA">
        <w:rPr>
          <w:color w:val="FF0000"/>
          <w:sz w:val="24"/>
          <w:szCs w:val="24"/>
        </w:rPr>
        <w:t>(s)</w:t>
      </w:r>
      <w:r w:rsidRPr="005412BA">
        <w:rPr>
          <w:color w:val="FF0000"/>
          <w:sz w:val="24"/>
          <w:szCs w:val="24"/>
        </w:rPr>
        <w:t xml:space="preserve"> </w:t>
      </w:r>
      <w:r>
        <w:rPr>
          <w:sz w:val="24"/>
          <w:szCs w:val="24"/>
        </w:rPr>
        <w:t>and any supporting documents to Regulatory Affairs.</w:t>
      </w:r>
    </w:p>
    <w:p w:rsidR="0016628D" w:rsidRDefault="0016628D" w:rsidP="00114A26">
      <w:pPr>
        <w:numPr>
          <w:ilvl w:val="0"/>
          <w:numId w:val="7"/>
        </w:numPr>
        <w:rPr>
          <w:sz w:val="24"/>
          <w:szCs w:val="24"/>
        </w:rPr>
      </w:pPr>
      <w:r>
        <w:rPr>
          <w:sz w:val="24"/>
          <w:szCs w:val="24"/>
        </w:rPr>
        <w:t>Regulatory Affiars will conduct a preliminary review, and will contact the Requestor if additional information or clarification is required.</w:t>
      </w:r>
    </w:p>
    <w:p w:rsidR="00FF6082" w:rsidRDefault="00FF6082" w:rsidP="00114A26">
      <w:pPr>
        <w:numPr>
          <w:ilvl w:val="0"/>
          <w:numId w:val="7"/>
        </w:numPr>
        <w:rPr>
          <w:sz w:val="24"/>
          <w:szCs w:val="24"/>
        </w:rPr>
      </w:pPr>
      <w:r>
        <w:rPr>
          <w:sz w:val="24"/>
          <w:szCs w:val="24"/>
        </w:rPr>
        <w:t>Once the preliminary review is completed, Regulatory Affairs assigns a request number in the following format:  X-YY-xxx (with X being alpha characters A to L, indicating the Month – A being January, L being Decembe</w:t>
      </w:r>
      <w:r w:rsidR="003C6E42">
        <w:rPr>
          <w:sz w:val="24"/>
          <w:szCs w:val="24"/>
        </w:rPr>
        <w:t xml:space="preserve">r.  YY is the two digit numeric </w:t>
      </w:r>
      <w:r>
        <w:rPr>
          <w:sz w:val="24"/>
          <w:szCs w:val="24"/>
        </w:rPr>
        <w:t>Year.  And xxx being a 3 digit</w:t>
      </w:r>
      <w:r w:rsidR="003C6E42">
        <w:rPr>
          <w:sz w:val="24"/>
          <w:szCs w:val="24"/>
        </w:rPr>
        <w:t xml:space="preserve"> sequence number followed by a model indicator (in parenthesis)</w:t>
      </w:r>
      <w:r>
        <w:rPr>
          <w:sz w:val="24"/>
          <w:szCs w:val="24"/>
        </w:rPr>
        <w:t>.</w:t>
      </w:r>
    </w:p>
    <w:p w:rsidR="00FF6082" w:rsidRDefault="00FF6082" w:rsidP="00114A26">
      <w:pPr>
        <w:numPr>
          <w:ilvl w:val="0"/>
          <w:numId w:val="7"/>
        </w:numPr>
        <w:rPr>
          <w:sz w:val="24"/>
          <w:szCs w:val="24"/>
        </w:rPr>
      </w:pPr>
      <w:r>
        <w:rPr>
          <w:sz w:val="24"/>
          <w:szCs w:val="24"/>
        </w:rPr>
        <w:t>All correspondence o</w:t>
      </w:r>
      <w:r w:rsidR="00500E26">
        <w:rPr>
          <w:sz w:val="24"/>
          <w:szCs w:val="24"/>
        </w:rPr>
        <w:t>r</w:t>
      </w:r>
      <w:r>
        <w:rPr>
          <w:sz w:val="24"/>
          <w:szCs w:val="24"/>
        </w:rPr>
        <w:t xml:space="preserve"> documentation associated with the request should refer to this number whenever possible.</w:t>
      </w:r>
    </w:p>
    <w:p w:rsidR="00FF6082" w:rsidRDefault="00FF6082" w:rsidP="00114A26">
      <w:pPr>
        <w:numPr>
          <w:ilvl w:val="0"/>
          <w:numId w:val="7"/>
        </w:numPr>
        <w:rPr>
          <w:sz w:val="24"/>
          <w:szCs w:val="24"/>
        </w:rPr>
      </w:pPr>
      <w:r>
        <w:rPr>
          <w:sz w:val="24"/>
          <w:szCs w:val="24"/>
        </w:rPr>
        <w:t xml:space="preserve">If the requested Certification already exists, Regulatory Affairs will </w:t>
      </w:r>
      <w:r w:rsidR="000542BC">
        <w:rPr>
          <w:color w:val="FF0000"/>
          <w:sz w:val="24"/>
          <w:szCs w:val="24"/>
        </w:rPr>
        <w:t>send</w:t>
      </w:r>
      <w:r>
        <w:rPr>
          <w:sz w:val="24"/>
          <w:szCs w:val="24"/>
        </w:rPr>
        <w:t xml:space="preserve"> a copy of the Certification to the Requestor.</w:t>
      </w:r>
    </w:p>
    <w:p w:rsidR="005412BA" w:rsidRDefault="005412BA" w:rsidP="00114A26">
      <w:pPr>
        <w:numPr>
          <w:ilvl w:val="0"/>
          <w:numId w:val="7"/>
        </w:numPr>
        <w:rPr>
          <w:sz w:val="24"/>
          <w:szCs w:val="24"/>
        </w:rPr>
      </w:pPr>
      <w:r>
        <w:rPr>
          <w:color w:val="FF0000"/>
          <w:sz w:val="24"/>
          <w:szCs w:val="24"/>
        </w:rPr>
        <w:t xml:space="preserve">Regulatory Affairs adds the Request to the Product Certification Review spreadshhet for tracking </w:t>
      </w:r>
    </w:p>
    <w:p w:rsidR="0016628D" w:rsidRPr="00964CAC" w:rsidRDefault="0016628D" w:rsidP="00964CAC">
      <w:pPr>
        <w:numPr>
          <w:ilvl w:val="0"/>
          <w:numId w:val="7"/>
        </w:numPr>
        <w:rPr>
          <w:sz w:val="24"/>
          <w:szCs w:val="24"/>
        </w:rPr>
      </w:pPr>
      <w:r>
        <w:rPr>
          <w:sz w:val="24"/>
          <w:szCs w:val="24"/>
        </w:rPr>
        <w:t>Complete</w:t>
      </w:r>
      <w:r w:rsidR="00371F83">
        <w:rPr>
          <w:sz w:val="24"/>
          <w:szCs w:val="24"/>
        </w:rPr>
        <w:t>d</w:t>
      </w:r>
      <w:r>
        <w:rPr>
          <w:sz w:val="24"/>
          <w:szCs w:val="24"/>
        </w:rPr>
        <w:t xml:space="preserve"> Request</w:t>
      </w:r>
      <w:r w:rsidR="00371F83">
        <w:rPr>
          <w:sz w:val="24"/>
          <w:szCs w:val="24"/>
        </w:rPr>
        <w:t xml:space="preserve"> Form</w:t>
      </w:r>
      <w:r>
        <w:rPr>
          <w:sz w:val="24"/>
          <w:szCs w:val="24"/>
        </w:rPr>
        <w:t xml:space="preserve">s are reviewed by the Enginnering Certification committee at regularly scheduled meetings (usually weekly).  Progress on the certification process are discussed during the meeting and published in a spreadsheet format, available for viewing at </w:t>
      </w:r>
      <w:hyperlink r:id="rId7" w:history="1">
        <w:r w:rsidR="002B41D1" w:rsidRPr="00964CAC">
          <w:rPr>
            <w:rStyle w:val="Hyperlink"/>
            <w:sz w:val="24"/>
            <w:szCs w:val="24"/>
          </w:rPr>
          <w:t>R:\Quality\Records - Certification Requests (RA001 forms)\201</w:t>
        </w:r>
        <w:r w:rsidR="000542BC">
          <w:rPr>
            <w:rStyle w:val="Hyperlink"/>
            <w:sz w:val="24"/>
            <w:szCs w:val="24"/>
          </w:rPr>
          <w:t>8</w:t>
        </w:r>
        <w:r w:rsidR="002B41D1" w:rsidRPr="00964CAC">
          <w:rPr>
            <w:rStyle w:val="Hyperlink"/>
            <w:sz w:val="24"/>
            <w:szCs w:val="24"/>
          </w:rPr>
          <w:t>\Certification Request Log 201</w:t>
        </w:r>
        <w:r w:rsidR="000542BC">
          <w:rPr>
            <w:rStyle w:val="Hyperlink"/>
            <w:sz w:val="24"/>
            <w:szCs w:val="24"/>
          </w:rPr>
          <w:t>8</w:t>
        </w:r>
        <w:r w:rsidR="002B41D1" w:rsidRPr="00964CAC">
          <w:rPr>
            <w:rStyle w:val="Hyperlink"/>
            <w:sz w:val="24"/>
            <w:szCs w:val="24"/>
          </w:rPr>
          <w:t>.xlsx</w:t>
        </w:r>
      </w:hyperlink>
    </w:p>
    <w:p w:rsidR="0016628D" w:rsidRDefault="0016628D" w:rsidP="00114A26">
      <w:pPr>
        <w:numPr>
          <w:ilvl w:val="0"/>
          <w:numId w:val="7"/>
        </w:numPr>
        <w:rPr>
          <w:sz w:val="24"/>
          <w:szCs w:val="24"/>
        </w:rPr>
      </w:pPr>
      <w:r>
        <w:rPr>
          <w:sz w:val="24"/>
          <w:szCs w:val="24"/>
        </w:rPr>
        <w:t>The committee will determine which applications are needed, what testing is required, and/or whether a more expedited metho</w:t>
      </w:r>
      <w:bookmarkStart w:id="0" w:name="_GoBack"/>
      <w:bookmarkEnd w:id="0"/>
      <w:r>
        <w:rPr>
          <w:sz w:val="24"/>
          <w:szCs w:val="24"/>
        </w:rPr>
        <w:t>d is available for certification.</w:t>
      </w:r>
      <w:r w:rsidR="00E020F2">
        <w:rPr>
          <w:sz w:val="24"/>
          <w:szCs w:val="24"/>
        </w:rPr>
        <w:t xml:space="preserve"> </w:t>
      </w:r>
      <w:r w:rsidR="00D17461">
        <w:rPr>
          <w:sz w:val="24"/>
          <w:szCs w:val="24"/>
        </w:rPr>
        <w:t xml:space="preserve"> </w:t>
      </w:r>
      <w:r w:rsidR="00D17461">
        <w:rPr>
          <w:color w:val="FF0000"/>
          <w:sz w:val="24"/>
          <w:szCs w:val="24"/>
        </w:rPr>
        <w:t>Also:</w:t>
      </w:r>
      <w:r w:rsidR="00E020F2">
        <w:rPr>
          <w:sz w:val="24"/>
          <w:szCs w:val="24"/>
        </w:rPr>
        <w:t xml:space="preserve"> </w:t>
      </w:r>
    </w:p>
    <w:p w:rsidR="000542BC" w:rsidRPr="005F1B6F" w:rsidRDefault="000542BC" w:rsidP="00896A67">
      <w:pPr>
        <w:numPr>
          <w:ilvl w:val="1"/>
          <w:numId w:val="7"/>
        </w:numPr>
        <w:rPr>
          <w:color w:val="FF0000"/>
          <w:sz w:val="24"/>
          <w:szCs w:val="24"/>
        </w:rPr>
      </w:pPr>
      <w:r>
        <w:rPr>
          <w:color w:val="FF0000"/>
          <w:sz w:val="24"/>
          <w:szCs w:val="24"/>
        </w:rPr>
        <w:t>If the request is for New CE marking or includes CE Marking, Engineering will conduct a preliminary Review of EMC</w:t>
      </w:r>
      <w:r w:rsidR="00430AFE">
        <w:rPr>
          <w:color w:val="FF0000"/>
          <w:sz w:val="24"/>
          <w:szCs w:val="24"/>
        </w:rPr>
        <w:t>/Safety</w:t>
      </w:r>
      <w:r>
        <w:rPr>
          <w:color w:val="FF0000"/>
          <w:sz w:val="24"/>
          <w:szCs w:val="24"/>
        </w:rPr>
        <w:t xml:space="preserve"> requirements and determine if new testing is required or if CE </w:t>
      </w:r>
      <w:r w:rsidR="00430AFE">
        <w:rPr>
          <w:color w:val="FF0000"/>
          <w:sz w:val="24"/>
          <w:szCs w:val="24"/>
        </w:rPr>
        <w:t>for</w:t>
      </w:r>
      <w:r>
        <w:rPr>
          <w:color w:val="FF0000"/>
          <w:sz w:val="24"/>
          <w:szCs w:val="24"/>
        </w:rPr>
        <w:t xml:space="preserve"> EMC</w:t>
      </w:r>
      <w:r w:rsidR="00430AFE">
        <w:rPr>
          <w:color w:val="FF0000"/>
          <w:sz w:val="24"/>
          <w:szCs w:val="24"/>
        </w:rPr>
        <w:t>/Safety</w:t>
      </w:r>
      <w:r>
        <w:rPr>
          <w:color w:val="FF0000"/>
          <w:sz w:val="24"/>
          <w:szCs w:val="24"/>
        </w:rPr>
        <w:t xml:space="preserve"> is covered by “Similarity” to a tested sensor.  This decision, and the rationale for the decision, will be recorded on Form EN039 by a Qualified Engineer</w:t>
      </w:r>
      <w:r w:rsidRPr="005F1B6F">
        <w:rPr>
          <w:color w:val="FF0000"/>
          <w:sz w:val="24"/>
          <w:szCs w:val="24"/>
        </w:rPr>
        <w:t xml:space="preserve">.  </w:t>
      </w:r>
    </w:p>
    <w:p w:rsidR="000542BC" w:rsidRPr="005F1B6F" w:rsidRDefault="000542BC" w:rsidP="00896A67">
      <w:pPr>
        <w:numPr>
          <w:ilvl w:val="1"/>
          <w:numId w:val="7"/>
        </w:numPr>
        <w:rPr>
          <w:color w:val="FF0000"/>
          <w:sz w:val="24"/>
          <w:szCs w:val="24"/>
        </w:rPr>
      </w:pPr>
      <w:r>
        <w:rPr>
          <w:color w:val="FF0000"/>
          <w:sz w:val="24"/>
          <w:szCs w:val="24"/>
        </w:rPr>
        <w:t xml:space="preserve">All CE Marked product must also be assessed for </w:t>
      </w:r>
      <w:r w:rsidR="005F1B6F">
        <w:rPr>
          <w:color w:val="FF0000"/>
          <w:sz w:val="24"/>
          <w:szCs w:val="24"/>
        </w:rPr>
        <w:t xml:space="preserve">all other Applicable EC Marking Directives, </w:t>
      </w:r>
      <w:r w:rsidR="009B67E6">
        <w:rPr>
          <w:color w:val="FF0000"/>
          <w:sz w:val="24"/>
          <w:szCs w:val="24"/>
        </w:rPr>
        <w:t>including the RoHS Directive.  For “self-certification” Directives, t</w:t>
      </w:r>
      <w:r w:rsidR="005F1B6F">
        <w:rPr>
          <w:color w:val="FF0000"/>
          <w:sz w:val="24"/>
          <w:szCs w:val="24"/>
        </w:rPr>
        <w:t>hese assessments will also be recorded on EN039.</w:t>
      </w:r>
      <w:r w:rsidR="009B67E6">
        <w:rPr>
          <w:color w:val="FF0000"/>
          <w:sz w:val="24"/>
          <w:szCs w:val="24"/>
        </w:rPr>
        <w:t xml:space="preserve">  For non-self-certification Directives, follow the normal Certification Request path.</w:t>
      </w:r>
    </w:p>
    <w:p w:rsidR="005F1B6F" w:rsidRPr="005F1B6F" w:rsidRDefault="005F1B6F" w:rsidP="00896A67">
      <w:pPr>
        <w:numPr>
          <w:ilvl w:val="1"/>
          <w:numId w:val="7"/>
        </w:numPr>
        <w:rPr>
          <w:color w:val="FF0000"/>
          <w:sz w:val="24"/>
          <w:szCs w:val="24"/>
        </w:rPr>
      </w:pPr>
      <w:r>
        <w:rPr>
          <w:color w:val="FF0000"/>
          <w:sz w:val="24"/>
          <w:szCs w:val="24"/>
        </w:rPr>
        <w:t>If all applicable “Essential Requirements” of the Directives have been fulfilled the CE Mark may be included on the Product Specification.</w:t>
      </w:r>
    </w:p>
    <w:p w:rsidR="005F1B6F" w:rsidRPr="005F1B6F" w:rsidRDefault="005F1B6F" w:rsidP="00896A67">
      <w:pPr>
        <w:numPr>
          <w:ilvl w:val="1"/>
          <w:numId w:val="7"/>
        </w:numPr>
        <w:rPr>
          <w:color w:val="FF0000"/>
          <w:sz w:val="24"/>
          <w:szCs w:val="24"/>
        </w:rPr>
      </w:pPr>
      <w:r>
        <w:rPr>
          <w:color w:val="FF0000"/>
          <w:sz w:val="24"/>
          <w:szCs w:val="24"/>
        </w:rPr>
        <w:t>If an EN039 Form is not used for recording a CE Decision, then the justification and assessment information shall be included in the Design History File</w:t>
      </w:r>
      <w:r w:rsidR="00896A67">
        <w:rPr>
          <w:color w:val="FF0000"/>
          <w:sz w:val="24"/>
          <w:szCs w:val="24"/>
        </w:rPr>
        <w:t xml:space="preserve"> documentation</w:t>
      </w:r>
      <w:r>
        <w:rPr>
          <w:color w:val="FF0000"/>
          <w:sz w:val="24"/>
          <w:szCs w:val="24"/>
        </w:rPr>
        <w:t>.</w:t>
      </w:r>
    </w:p>
    <w:p w:rsidR="0016628D" w:rsidRDefault="009B67E6" w:rsidP="00114A26">
      <w:pPr>
        <w:numPr>
          <w:ilvl w:val="0"/>
          <w:numId w:val="7"/>
        </w:numPr>
        <w:rPr>
          <w:sz w:val="24"/>
          <w:szCs w:val="24"/>
        </w:rPr>
      </w:pPr>
      <w:r>
        <w:rPr>
          <w:color w:val="FF0000"/>
          <w:sz w:val="24"/>
          <w:szCs w:val="24"/>
        </w:rPr>
        <w:t xml:space="preserve">Based on the Committee recommendations, </w:t>
      </w:r>
      <w:r w:rsidR="0016628D">
        <w:rPr>
          <w:sz w:val="24"/>
          <w:szCs w:val="24"/>
        </w:rPr>
        <w:t>Regulatory Affairs will obta</w:t>
      </w:r>
      <w:r w:rsidR="00EB682B">
        <w:rPr>
          <w:sz w:val="24"/>
          <w:szCs w:val="24"/>
        </w:rPr>
        <w:t>in quotes from the appropriate C</w:t>
      </w:r>
      <w:r w:rsidR="0016628D">
        <w:rPr>
          <w:sz w:val="24"/>
          <w:szCs w:val="24"/>
        </w:rPr>
        <w:t>ertification agencies</w:t>
      </w:r>
      <w:r w:rsidR="001417D5">
        <w:rPr>
          <w:sz w:val="24"/>
          <w:szCs w:val="24"/>
        </w:rPr>
        <w:t>.</w:t>
      </w:r>
    </w:p>
    <w:p w:rsidR="00B81885" w:rsidRDefault="00B81885" w:rsidP="00114A26">
      <w:pPr>
        <w:numPr>
          <w:ilvl w:val="0"/>
          <w:numId w:val="7"/>
        </w:numPr>
        <w:rPr>
          <w:sz w:val="24"/>
          <w:szCs w:val="24"/>
        </w:rPr>
      </w:pPr>
      <w:r>
        <w:rPr>
          <w:sz w:val="24"/>
          <w:szCs w:val="24"/>
        </w:rPr>
        <w:t>Regulatory Affairs and Engineering will then calculate an Expense Estimate for the certification.</w:t>
      </w:r>
    </w:p>
    <w:p w:rsidR="001417D5" w:rsidRDefault="00B81885" w:rsidP="00114A26">
      <w:pPr>
        <w:numPr>
          <w:ilvl w:val="0"/>
          <w:numId w:val="7"/>
        </w:numPr>
        <w:rPr>
          <w:sz w:val="24"/>
          <w:szCs w:val="24"/>
        </w:rPr>
      </w:pPr>
      <w:r>
        <w:rPr>
          <w:sz w:val="24"/>
          <w:szCs w:val="24"/>
        </w:rPr>
        <w:t xml:space="preserve">The RA001 Form with the Expense Calculation in Box 4, </w:t>
      </w:r>
      <w:r w:rsidR="009B67E6">
        <w:rPr>
          <w:color w:val="FF0000"/>
          <w:sz w:val="24"/>
          <w:szCs w:val="24"/>
        </w:rPr>
        <w:t xml:space="preserve">or an e-mail attached to the OutLook Form with an Accept/Reject decision box </w:t>
      </w:r>
      <w:r>
        <w:rPr>
          <w:sz w:val="24"/>
          <w:szCs w:val="24"/>
        </w:rPr>
        <w:t>is</w:t>
      </w:r>
      <w:r w:rsidR="001417D5">
        <w:rPr>
          <w:sz w:val="24"/>
          <w:szCs w:val="24"/>
        </w:rPr>
        <w:t xml:space="preserve"> then forwarded to the respons</w:t>
      </w:r>
      <w:r w:rsidR="00E020F2">
        <w:rPr>
          <w:sz w:val="24"/>
          <w:szCs w:val="24"/>
        </w:rPr>
        <w:t>ible Sales</w:t>
      </w:r>
      <w:r>
        <w:rPr>
          <w:sz w:val="24"/>
          <w:szCs w:val="24"/>
        </w:rPr>
        <w:t>/Product</w:t>
      </w:r>
      <w:r w:rsidR="00E020F2">
        <w:rPr>
          <w:sz w:val="24"/>
          <w:szCs w:val="24"/>
        </w:rPr>
        <w:t xml:space="preserve"> Manager for review.  The certification request approval or rejection is recorded in Box 5 on the form, </w:t>
      </w:r>
      <w:r w:rsidR="009B67E6">
        <w:rPr>
          <w:color w:val="FF0000"/>
          <w:sz w:val="24"/>
          <w:szCs w:val="24"/>
        </w:rPr>
        <w:t xml:space="preserve">or the e-mail response to Accept/Reject is returned </w:t>
      </w:r>
      <w:r w:rsidR="00E020F2">
        <w:rPr>
          <w:sz w:val="24"/>
          <w:szCs w:val="24"/>
        </w:rPr>
        <w:t>to Regulatory Affairs for futher processing.</w:t>
      </w:r>
    </w:p>
    <w:p w:rsidR="00E418AD" w:rsidRDefault="00E418AD" w:rsidP="00114A26">
      <w:pPr>
        <w:numPr>
          <w:ilvl w:val="0"/>
          <w:numId w:val="7"/>
        </w:numPr>
        <w:rPr>
          <w:sz w:val="24"/>
          <w:szCs w:val="24"/>
        </w:rPr>
      </w:pPr>
      <w:r>
        <w:rPr>
          <w:sz w:val="24"/>
          <w:szCs w:val="24"/>
        </w:rPr>
        <w:t xml:space="preserve">If a request is not approved, the Requestor </w:t>
      </w:r>
      <w:r w:rsidR="009B67E6">
        <w:rPr>
          <w:color w:val="FF0000"/>
          <w:sz w:val="24"/>
          <w:szCs w:val="24"/>
        </w:rPr>
        <w:t xml:space="preserve">(if different) </w:t>
      </w:r>
      <w:r>
        <w:rPr>
          <w:sz w:val="24"/>
          <w:szCs w:val="24"/>
        </w:rPr>
        <w:t xml:space="preserve">will be notified and a copy of th rejected request is forwarded to them for their records.  There is no appeals process established.  A new Request should be initated for the Certification if </w:t>
      </w:r>
      <w:r w:rsidR="00E020F2">
        <w:rPr>
          <w:sz w:val="24"/>
          <w:szCs w:val="24"/>
        </w:rPr>
        <w:t xml:space="preserve">a new opportunity is identified after </w:t>
      </w:r>
      <w:r>
        <w:rPr>
          <w:sz w:val="24"/>
          <w:szCs w:val="24"/>
        </w:rPr>
        <w:t>the initial application is rejected.</w:t>
      </w:r>
    </w:p>
    <w:p w:rsidR="001417D5" w:rsidRDefault="001417D5" w:rsidP="00114A26">
      <w:pPr>
        <w:numPr>
          <w:ilvl w:val="0"/>
          <w:numId w:val="7"/>
        </w:numPr>
        <w:rPr>
          <w:sz w:val="24"/>
          <w:szCs w:val="24"/>
        </w:rPr>
      </w:pPr>
      <w:r>
        <w:rPr>
          <w:sz w:val="24"/>
          <w:szCs w:val="24"/>
        </w:rPr>
        <w:lastRenderedPageBreak/>
        <w:t>Approved Quotes are processed by Regulatory Affairs/Engineering including preparation of any required samples, purchase requistions, test requests, and other necessary documentation.</w:t>
      </w:r>
    </w:p>
    <w:p w:rsidR="001417D5" w:rsidRDefault="001417D5" w:rsidP="00114A26">
      <w:pPr>
        <w:numPr>
          <w:ilvl w:val="0"/>
          <w:numId w:val="7"/>
        </w:numPr>
        <w:rPr>
          <w:sz w:val="24"/>
          <w:szCs w:val="24"/>
        </w:rPr>
      </w:pPr>
      <w:r>
        <w:rPr>
          <w:sz w:val="24"/>
          <w:szCs w:val="24"/>
        </w:rPr>
        <w:t xml:space="preserve">Results of any required testing, drawing, specification, or other required documentation is forwarded to the Certification </w:t>
      </w:r>
      <w:r w:rsidR="00EB682B">
        <w:rPr>
          <w:sz w:val="24"/>
          <w:szCs w:val="24"/>
        </w:rPr>
        <w:t>agencies by Regulatory Affairs/Engineering.</w:t>
      </w:r>
      <w:r w:rsidR="009B67E6">
        <w:rPr>
          <w:sz w:val="24"/>
          <w:szCs w:val="24"/>
        </w:rPr>
        <w:t xml:space="preserve">  (Note:  </w:t>
      </w:r>
      <w:r w:rsidR="009B67E6">
        <w:rPr>
          <w:sz w:val="24"/>
          <w:szCs w:val="24"/>
          <w:lang w:val="en"/>
        </w:rPr>
        <w:t>M</w:t>
      </w:r>
      <w:r w:rsidR="009B67E6" w:rsidRPr="00964CAC">
        <w:rPr>
          <w:sz w:val="24"/>
          <w:szCs w:val="24"/>
          <w:lang w:val="en"/>
        </w:rPr>
        <w:t>ay require multiple iterations)</w:t>
      </w:r>
    </w:p>
    <w:p w:rsidR="00EB682B" w:rsidRDefault="00EB682B" w:rsidP="00114A26">
      <w:pPr>
        <w:numPr>
          <w:ilvl w:val="0"/>
          <w:numId w:val="7"/>
        </w:numPr>
        <w:rPr>
          <w:sz w:val="24"/>
          <w:szCs w:val="24"/>
        </w:rPr>
      </w:pPr>
      <w:r>
        <w:rPr>
          <w:sz w:val="24"/>
          <w:szCs w:val="24"/>
        </w:rPr>
        <w:t>Once the Certifications are issued, Regulatory Affairs (with support from Eng</w:t>
      </w:r>
      <w:r w:rsidR="00371F83">
        <w:rPr>
          <w:sz w:val="24"/>
          <w:szCs w:val="24"/>
        </w:rPr>
        <w:t xml:space="preserve">ineering) will execute the documentation updates required for the type of certification </w:t>
      </w:r>
      <w:r w:rsidR="00964CAC">
        <w:rPr>
          <w:sz w:val="24"/>
          <w:szCs w:val="24"/>
        </w:rPr>
        <w:t>received, including (but not limited to) the following:</w:t>
      </w:r>
    </w:p>
    <w:p w:rsidR="00964CAC" w:rsidRPr="00964CAC" w:rsidRDefault="00964CAC" w:rsidP="00964CAC">
      <w:pPr>
        <w:numPr>
          <w:ilvl w:val="1"/>
          <w:numId w:val="7"/>
        </w:numPr>
        <w:spacing w:after="200" w:line="276" w:lineRule="auto"/>
        <w:rPr>
          <w:sz w:val="24"/>
          <w:szCs w:val="24"/>
          <w:lang w:val="en"/>
        </w:rPr>
      </w:pPr>
      <w:r w:rsidRPr="00964CAC">
        <w:rPr>
          <w:sz w:val="24"/>
          <w:szCs w:val="24"/>
          <w:lang w:val="en"/>
        </w:rPr>
        <w:t>Submit ECO to have required drawings created or modified.  Documents to be included are shown below.  DIN_____________</w:t>
      </w:r>
    </w:p>
    <w:p w:rsidR="00964CAC" w:rsidRPr="00964CAC" w:rsidRDefault="00964CAC" w:rsidP="00964CAC">
      <w:pPr>
        <w:numPr>
          <w:ilvl w:val="2"/>
          <w:numId w:val="7"/>
        </w:numPr>
        <w:spacing w:after="200" w:line="276" w:lineRule="auto"/>
        <w:rPr>
          <w:sz w:val="24"/>
          <w:szCs w:val="24"/>
          <w:lang w:val="en"/>
        </w:rPr>
      </w:pPr>
      <w:r w:rsidRPr="00964CAC">
        <w:rPr>
          <w:sz w:val="24"/>
          <w:szCs w:val="24"/>
          <w:lang w:val="en"/>
        </w:rPr>
        <w:tab/>
        <w:t>- Technical Files</w:t>
      </w:r>
    </w:p>
    <w:p w:rsidR="00964CAC" w:rsidRPr="00964CAC" w:rsidRDefault="00964CAC" w:rsidP="00964CAC">
      <w:pPr>
        <w:numPr>
          <w:ilvl w:val="2"/>
          <w:numId w:val="7"/>
        </w:numPr>
        <w:spacing w:after="200" w:line="276" w:lineRule="auto"/>
        <w:rPr>
          <w:sz w:val="24"/>
          <w:szCs w:val="24"/>
          <w:lang w:val="en"/>
        </w:rPr>
      </w:pPr>
      <w:r w:rsidRPr="00964CAC">
        <w:rPr>
          <w:sz w:val="24"/>
          <w:szCs w:val="24"/>
          <w:lang w:val="en"/>
        </w:rPr>
        <w:tab/>
        <w:t>- Descriptive Notices</w:t>
      </w:r>
    </w:p>
    <w:p w:rsidR="00964CAC" w:rsidRPr="00964CAC" w:rsidRDefault="00964CAC" w:rsidP="00964CAC">
      <w:pPr>
        <w:numPr>
          <w:ilvl w:val="2"/>
          <w:numId w:val="7"/>
        </w:numPr>
        <w:spacing w:after="200" w:line="276" w:lineRule="auto"/>
        <w:rPr>
          <w:sz w:val="24"/>
          <w:szCs w:val="24"/>
          <w:lang w:val="en"/>
        </w:rPr>
      </w:pPr>
      <w:r w:rsidRPr="00964CAC">
        <w:rPr>
          <w:sz w:val="24"/>
          <w:szCs w:val="24"/>
          <w:lang w:val="en"/>
        </w:rPr>
        <w:tab/>
        <w:t>- Etching control drawings</w:t>
      </w:r>
    </w:p>
    <w:p w:rsidR="00964CAC" w:rsidRPr="00964CAC" w:rsidRDefault="00964CAC" w:rsidP="00964CAC">
      <w:pPr>
        <w:numPr>
          <w:ilvl w:val="2"/>
          <w:numId w:val="7"/>
        </w:numPr>
        <w:spacing w:after="200" w:line="276" w:lineRule="auto"/>
        <w:rPr>
          <w:sz w:val="24"/>
          <w:szCs w:val="24"/>
          <w:lang w:val="en"/>
        </w:rPr>
      </w:pPr>
      <w:r w:rsidRPr="00964CAC">
        <w:rPr>
          <w:sz w:val="24"/>
          <w:szCs w:val="24"/>
          <w:lang w:val="en"/>
        </w:rPr>
        <w:tab/>
        <w:t xml:space="preserve">- </w:t>
      </w:r>
      <w:r w:rsidR="009B67E6">
        <w:rPr>
          <w:color w:val="FF0000"/>
          <w:sz w:val="24"/>
          <w:szCs w:val="24"/>
          <w:lang w:val="en"/>
        </w:rPr>
        <w:t xml:space="preserve">Any other </w:t>
      </w:r>
      <w:r w:rsidRPr="00964CAC">
        <w:rPr>
          <w:sz w:val="24"/>
          <w:szCs w:val="24"/>
          <w:lang w:val="en"/>
        </w:rPr>
        <w:t>Label</w:t>
      </w:r>
      <w:r w:rsidR="009B67E6">
        <w:rPr>
          <w:sz w:val="24"/>
          <w:szCs w:val="24"/>
          <w:lang w:val="en"/>
        </w:rPr>
        <w:t xml:space="preserve">ing, </w:t>
      </w:r>
      <w:r w:rsidR="009B67E6" w:rsidRPr="009B67E6">
        <w:rPr>
          <w:color w:val="FF0000"/>
          <w:sz w:val="24"/>
          <w:szCs w:val="24"/>
          <w:lang w:val="en"/>
        </w:rPr>
        <w:t>i</w:t>
      </w:r>
      <w:r w:rsidR="009B67E6">
        <w:rPr>
          <w:color w:val="FF0000"/>
          <w:sz w:val="24"/>
          <w:szCs w:val="24"/>
          <w:lang w:val="en"/>
        </w:rPr>
        <w:t>ncluding Manuals and IFUs</w:t>
      </w:r>
    </w:p>
    <w:p w:rsidR="00964CAC" w:rsidRPr="00964CAC" w:rsidRDefault="00964CAC" w:rsidP="00964CAC">
      <w:pPr>
        <w:numPr>
          <w:ilvl w:val="1"/>
          <w:numId w:val="7"/>
        </w:numPr>
        <w:spacing w:after="200" w:line="276" w:lineRule="auto"/>
        <w:rPr>
          <w:sz w:val="24"/>
          <w:szCs w:val="24"/>
          <w:lang w:val="en"/>
        </w:rPr>
      </w:pPr>
      <w:r w:rsidRPr="00964CAC">
        <w:rPr>
          <w:sz w:val="24"/>
          <w:szCs w:val="24"/>
          <w:lang w:val="en"/>
        </w:rPr>
        <w:t xml:space="preserve">Release approved drawings, close ECO from step 1.  </w:t>
      </w:r>
    </w:p>
    <w:p w:rsidR="00964CAC" w:rsidRPr="00964CAC" w:rsidRDefault="00964CAC" w:rsidP="00954189">
      <w:pPr>
        <w:numPr>
          <w:ilvl w:val="1"/>
          <w:numId w:val="7"/>
        </w:numPr>
        <w:spacing w:after="200"/>
        <w:rPr>
          <w:sz w:val="24"/>
          <w:szCs w:val="24"/>
          <w:lang w:val="en"/>
        </w:rPr>
      </w:pPr>
      <w:r w:rsidRPr="00964CAC">
        <w:rPr>
          <w:sz w:val="24"/>
          <w:szCs w:val="24"/>
          <w:lang w:val="en"/>
        </w:rPr>
        <w:t>Review etching samples.  Correct i</w:t>
      </w:r>
      <w:r w:rsidR="00246E67">
        <w:rPr>
          <w:sz w:val="24"/>
          <w:szCs w:val="24"/>
          <w:lang w:val="en"/>
        </w:rPr>
        <w:t xml:space="preserve">f necessary.  Once ok, sign off </w:t>
      </w:r>
      <w:r w:rsidRPr="00964CAC">
        <w:rPr>
          <w:sz w:val="24"/>
          <w:szCs w:val="24"/>
          <w:lang w:val="en"/>
        </w:rPr>
        <w:t xml:space="preserve">TA012 and hold until final ECO is released. </w:t>
      </w:r>
    </w:p>
    <w:p w:rsidR="00964CAC" w:rsidRPr="00964CAC" w:rsidRDefault="009156B1" w:rsidP="00964CAC">
      <w:pPr>
        <w:numPr>
          <w:ilvl w:val="1"/>
          <w:numId w:val="7"/>
        </w:numPr>
        <w:spacing w:after="200" w:line="276" w:lineRule="auto"/>
        <w:rPr>
          <w:sz w:val="24"/>
          <w:szCs w:val="24"/>
          <w:lang w:val="en"/>
        </w:rPr>
      </w:pPr>
      <w:r>
        <w:rPr>
          <w:color w:val="FF0000"/>
          <w:sz w:val="24"/>
          <w:szCs w:val="24"/>
          <w:lang w:val="en"/>
        </w:rPr>
        <w:t>If the Certifications are new, obtain “CT” (Certification) number from Regulatory Affairs and add these CT numbers to the BOM along with the associated Declaration of Conformity (“PS”) number.  It the Certifications are updates, check to make sure that the “CT” numbers associated with the certification are correct.  No further action from Engineering/Drafting is required.</w:t>
      </w:r>
    </w:p>
    <w:p w:rsidR="00964CAC" w:rsidRPr="00964CAC" w:rsidRDefault="00964CAC" w:rsidP="00964CAC">
      <w:pPr>
        <w:numPr>
          <w:ilvl w:val="1"/>
          <w:numId w:val="7"/>
        </w:numPr>
        <w:spacing w:after="200" w:line="276" w:lineRule="auto"/>
        <w:rPr>
          <w:sz w:val="24"/>
          <w:szCs w:val="24"/>
          <w:lang w:val="en"/>
        </w:rPr>
      </w:pPr>
      <w:r w:rsidRPr="00964CAC">
        <w:rPr>
          <w:sz w:val="24"/>
          <w:szCs w:val="24"/>
          <w:lang w:val="en"/>
        </w:rPr>
        <w:t>Once final ECO is released, return TA012 etching drawing and etch to new approvals.</w:t>
      </w:r>
    </w:p>
    <w:p w:rsidR="00954189" w:rsidRDefault="00954189" w:rsidP="00114A26">
      <w:pPr>
        <w:numPr>
          <w:ilvl w:val="0"/>
          <w:numId w:val="7"/>
        </w:numPr>
        <w:rPr>
          <w:sz w:val="24"/>
          <w:szCs w:val="24"/>
        </w:rPr>
      </w:pPr>
      <w:r>
        <w:rPr>
          <w:sz w:val="24"/>
          <w:szCs w:val="24"/>
        </w:rPr>
        <w:t xml:space="preserve">Update </w:t>
      </w:r>
      <w:r w:rsidR="009156B1" w:rsidRPr="009156B1">
        <w:rPr>
          <w:color w:val="FF0000"/>
          <w:sz w:val="24"/>
          <w:szCs w:val="24"/>
        </w:rPr>
        <w:t>IDFinal,docx in the R:/TCS/CT Folder</w:t>
      </w:r>
      <w:r w:rsidRPr="009156B1">
        <w:rPr>
          <w:color w:val="FF0000"/>
          <w:sz w:val="24"/>
          <w:szCs w:val="24"/>
        </w:rPr>
        <w:t xml:space="preserve"> </w:t>
      </w:r>
      <w:r>
        <w:rPr>
          <w:sz w:val="24"/>
          <w:szCs w:val="24"/>
        </w:rPr>
        <w:t>with new Certificate numbers</w:t>
      </w:r>
      <w:r w:rsidR="009156B1">
        <w:rPr>
          <w:sz w:val="24"/>
          <w:szCs w:val="24"/>
        </w:rPr>
        <w:t xml:space="preserve"> </w:t>
      </w:r>
      <w:r w:rsidR="009156B1" w:rsidRPr="009156B1">
        <w:rPr>
          <w:color w:val="FF0000"/>
          <w:sz w:val="24"/>
          <w:szCs w:val="24"/>
        </w:rPr>
        <w:t xml:space="preserve">and “PS” Reference </w:t>
      </w:r>
      <w:r>
        <w:rPr>
          <w:sz w:val="24"/>
          <w:szCs w:val="24"/>
        </w:rPr>
        <w:t>(as applicable).</w:t>
      </w:r>
    </w:p>
    <w:p w:rsidR="00EB682B" w:rsidRPr="00E95538" w:rsidRDefault="00FF6082" w:rsidP="00114A26">
      <w:pPr>
        <w:numPr>
          <w:ilvl w:val="0"/>
          <w:numId w:val="7"/>
        </w:numPr>
        <w:rPr>
          <w:sz w:val="24"/>
          <w:szCs w:val="24"/>
        </w:rPr>
      </w:pPr>
      <w:r>
        <w:rPr>
          <w:sz w:val="24"/>
          <w:szCs w:val="24"/>
        </w:rPr>
        <w:t xml:space="preserve">After </w:t>
      </w:r>
      <w:r w:rsidR="009156B1">
        <w:rPr>
          <w:sz w:val="24"/>
          <w:szCs w:val="24"/>
        </w:rPr>
        <w:t xml:space="preserve">all </w:t>
      </w:r>
      <w:r>
        <w:rPr>
          <w:sz w:val="24"/>
          <w:szCs w:val="24"/>
        </w:rPr>
        <w:t xml:space="preserve">the </w:t>
      </w:r>
      <w:r w:rsidR="009156B1">
        <w:rPr>
          <w:color w:val="FF0000"/>
          <w:sz w:val="24"/>
          <w:szCs w:val="24"/>
        </w:rPr>
        <w:t>Certification Request tasks are</w:t>
      </w:r>
      <w:r w:rsidR="00EB682B">
        <w:rPr>
          <w:sz w:val="24"/>
          <w:szCs w:val="24"/>
        </w:rPr>
        <w:t xml:space="preserve"> c</w:t>
      </w:r>
      <w:r>
        <w:rPr>
          <w:sz w:val="24"/>
          <w:szCs w:val="24"/>
        </w:rPr>
        <w:t xml:space="preserve">ompleted, </w:t>
      </w:r>
      <w:r w:rsidRPr="009156B1">
        <w:rPr>
          <w:color w:val="FF0000"/>
          <w:sz w:val="24"/>
          <w:szCs w:val="24"/>
        </w:rPr>
        <w:t>a</w:t>
      </w:r>
      <w:r w:rsidR="009156B1" w:rsidRPr="009156B1">
        <w:rPr>
          <w:color w:val="FF0000"/>
          <w:sz w:val="24"/>
          <w:szCs w:val="24"/>
        </w:rPr>
        <w:t>n electronic</w:t>
      </w:r>
      <w:r w:rsidRPr="009156B1">
        <w:rPr>
          <w:color w:val="FF0000"/>
          <w:sz w:val="24"/>
          <w:szCs w:val="24"/>
        </w:rPr>
        <w:t xml:space="preserve"> </w:t>
      </w:r>
      <w:r>
        <w:rPr>
          <w:sz w:val="24"/>
          <w:szCs w:val="24"/>
        </w:rPr>
        <w:t>copy of the request is stored in the database under R:/Quality/</w:t>
      </w:r>
      <w:r w:rsidR="00B81885">
        <w:rPr>
          <w:sz w:val="24"/>
          <w:szCs w:val="24"/>
        </w:rPr>
        <w:t xml:space="preserve">Records - </w:t>
      </w:r>
      <w:r>
        <w:rPr>
          <w:sz w:val="24"/>
          <w:szCs w:val="24"/>
        </w:rPr>
        <w:t>Certification Requests/Year (i.e. 201</w:t>
      </w:r>
      <w:r w:rsidR="009156B1">
        <w:rPr>
          <w:sz w:val="24"/>
          <w:szCs w:val="24"/>
        </w:rPr>
        <w:t>8</w:t>
      </w:r>
      <w:r>
        <w:rPr>
          <w:sz w:val="24"/>
          <w:szCs w:val="24"/>
        </w:rPr>
        <w:t>)</w:t>
      </w:r>
      <w:r w:rsidR="00E62024">
        <w:rPr>
          <w:sz w:val="24"/>
          <w:szCs w:val="24"/>
        </w:rPr>
        <w:t xml:space="preserve"> by </w:t>
      </w:r>
      <w:r>
        <w:rPr>
          <w:sz w:val="24"/>
          <w:szCs w:val="24"/>
        </w:rPr>
        <w:t>Request Number</w:t>
      </w:r>
      <w:r w:rsidR="00E62024">
        <w:rPr>
          <w:sz w:val="24"/>
          <w:szCs w:val="24"/>
        </w:rPr>
        <w:t>.</w:t>
      </w:r>
    </w:p>
    <w:sectPr w:rsidR="00EB682B" w:rsidRPr="00E95538"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66" w:rsidRDefault="002E6666">
      <w:r>
        <w:separator/>
      </w:r>
    </w:p>
  </w:endnote>
  <w:endnote w:type="continuationSeparator" w:id="0">
    <w:p w:rsidR="002E6666" w:rsidRDefault="002E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B273F4" w:rsidRPr="00AB0D76" w:rsidTr="00AB0D76">
      <w:tc>
        <w:tcPr>
          <w:tcW w:w="3672" w:type="dxa"/>
          <w:shd w:val="clear" w:color="auto" w:fill="auto"/>
          <w:vAlign w:val="center"/>
        </w:tcPr>
        <w:p w:rsidR="00B273F4" w:rsidRPr="00AB0D76" w:rsidRDefault="00B273F4" w:rsidP="00AB0D76">
          <w:pPr>
            <w:pStyle w:val="Footer"/>
            <w:jc w:val="center"/>
            <w:rPr>
              <w:rFonts w:ascii="Arial" w:hAnsi="Arial" w:cs="Arial"/>
              <w:sz w:val="16"/>
              <w:szCs w:val="16"/>
            </w:rPr>
          </w:pPr>
        </w:p>
      </w:tc>
      <w:tc>
        <w:tcPr>
          <w:tcW w:w="6156" w:type="dxa"/>
          <w:shd w:val="clear" w:color="auto" w:fill="auto"/>
          <w:vAlign w:val="center"/>
        </w:tcPr>
        <w:p w:rsidR="00B273F4" w:rsidRPr="00AB0D76" w:rsidRDefault="00B273F4" w:rsidP="00AB0D76">
          <w:pPr>
            <w:pStyle w:val="Footer"/>
            <w:jc w:val="right"/>
            <w:rPr>
              <w:rFonts w:ascii="Arial" w:hAnsi="Arial" w:cs="Arial"/>
              <w:sz w:val="16"/>
              <w:szCs w:val="16"/>
            </w:rPr>
          </w:pPr>
        </w:p>
      </w:tc>
      <w:tc>
        <w:tcPr>
          <w:tcW w:w="1188" w:type="dxa"/>
          <w:shd w:val="clear" w:color="auto" w:fill="auto"/>
          <w:vAlign w:val="center"/>
        </w:tcPr>
        <w:p w:rsidR="00B273F4" w:rsidRPr="00AB0D76" w:rsidRDefault="00114A26" w:rsidP="00AB0D76">
          <w:pPr>
            <w:pStyle w:val="Footer"/>
            <w:jc w:val="right"/>
            <w:rPr>
              <w:rFonts w:ascii="Arial" w:hAnsi="Arial" w:cs="Arial"/>
              <w:sz w:val="16"/>
              <w:szCs w:val="16"/>
            </w:rPr>
          </w:pPr>
          <w:r>
            <w:rPr>
              <w:rFonts w:ascii="Arial" w:hAnsi="Arial" w:cs="Arial"/>
              <w:sz w:val="16"/>
              <w:szCs w:val="16"/>
            </w:rPr>
            <w:t>RA1004</w:t>
          </w:r>
        </w:p>
      </w:tc>
    </w:tr>
    <w:tr w:rsidR="00B273F4" w:rsidRPr="00AB0D76" w:rsidTr="00AB0D76">
      <w:tc>
        <w:tcPr>
          <w:tcW w:w="3672" w:type="dxa"/>
          <w:shd w:val="clear" w:color="auto" w:fill="auto"/>
          <w:vAlign w:val="center"/>
        </w:tcPr>
        <w:p w:rsidR="00B273F4" w:rsidRPr="00AB0D76" w:rsidRDefault="00B273F4" w:rsidP="006B663F">
          <w:pPr>
            <w:pStyle w:val="Footer"/>
            <w:rPr>
              <w:rFonts w:ascii="Arial" w:hAnsi="Arial" w:cs="Arial"/>
              <w:sz w:val="16"/>
              <w:szCs w:val="16"/>
            </w:rPr>
          </w:pPr>
        </w:p>
      </w:tc>
      <w:tc>
        <w:tcPr>
          <w:tcW w:w="6156" w:type="dxa"/>
          <w:shd w:val="clear" w:color="auto" w:fill="auto"/>
          <w:vAlign w:val="center"/>
        </w:tcPr>
        <w:p w:rsidR="00B273F4" w:rsidRPr="00AB0D76" w:rsidRDefault="00B273F4" w:rsidP="00CD2070">
          <w:pPr>
            <w:pStyle w:val="Footer"/>
            <w:rPr>
              <w:rFonts w:ascii="Arial" w:hAnsi="Arial" w:cs="Arial"/>
              <w:sz w:val="16"/>
              <w:szCs w:val="16"/>
            </w:rPr>
          </w:pPr>
          <w:r w:rsidRPr="00AB0D76">
            <w:rPr>
              <w:rFonts w:ascii="Arial" w:hAnsi="Arial" w:cs="Arial"/>
              <w:sz w:val="16"/>
              <w:szCs w:val="16"/>
            </w:rPr>
            <w:t xml:space="preserve">                                    PAGE </w:t>
          </w:r>
          <w:r w:rsidRPr="00AB0D76">
            <w:rPr>
              <w:rStyle w:val="PageNumber"/>
              <w:rFonts w:ascii="Arial" w:hAnsi="Arial" w:cs="Arial"/>
              <w:sz w:val="16"/>
              <w:szCs w:val="16"/>
            </w:rPr>
            <w:fldChar w:fldCharType="begin"/>
          </w:r>
          <w:r w:rsidRPr="00AB0D76">
            <w:rPr>
              <w:rStyle w:val="PageNumber"/>
              <w:rFonts w:ascii="Arial" w:hAnsi="Arial" w:cs="Arial"/>
              <w:sz w:val="16"/>
              <w:szCs w:val="16"/>
            </w:rPr>
            <w:instrText xml:space="preserve"> PAGE </w:instrText>
          </w:r>
          <w:r w:rsidRPr="00AB0D76">
            <w:rPr>
              <w:rStyle w:val="PageNumber"/>
              <w:rFonts w:ascii="Arial" w:hAnsi="Arial" w:cs="Arial"/>
              <w:sz w:val="16"/>
              <w:szCs w:val="16"/>
            </w:rPr>
            <w:fldChar w:fldCharType="separate"/>
          </w:r>
          <w:r w:rsidR="009C146C">
            <w:rPr>
              <w:rStyle w:val="PageNumber"/>
              <w:rFonts w:ascii="Arial" w:hAnsi="Arial" w:cs="Arial"/>
              <w:noProof/>
              <w:sz w:val="16"/>
              <w:szCs w:val="16"/>
            </w:rPr>
            <w:t>2</w:t>
          </w:r>
          <w:r w:rsidRPr="00AB0D76">
            <w:rPr>
              <w:rStyle w:val="PageNumber"/>
              <w:rFonts w:ascii="Arial" w:hAnsi="Arial" w:cs="Arial"/>
              <w:sz w:val="16"/>
              <w:szCs w:val="16"/>
            </w:rPr>
            <w:fldChar w:fldCharType="end"/>
          </w:r>
          <w:r w:rsidRPr="00AB0D76">
            <w:rPr>
              <w:rStyle w:val="PageNumber"/>
              <w:rFonts w:ascii="Arial" w:hAnsi="Arial" w:cs="Arial"/>
              <w:sz w:val="16"/>
              <w:szCs w:val="16"/>
            </w:rPr>
            <w:t xml:space="preserve"> of </w:t>
          </w:r>
          <w:r w:rsidRPr="00AB0D76">
            <w:rPr>
              <w:rStyle w:val="PageNumber"/>
              <w:rFonts w:ascii="Arial" w:hAnsi="Arial" w:cs="Arial"/>
              <w:sz w:val="16"/>
              <w:szCs w:val="16"/>
            </w:rPr>
            <w:fldChar w:fldCharType="begin"/>
          </w:r>
          <w:r w:rsidRPr="00AB0D76">
            <w:rPr>
              <w:rStyle w:val="PageNumber"/>
              <w:rFonts w:ascii="Arial" w:hAnsi="Arial" w:cs="Arial"/>
              <w:sz w:val="16"/>
              <w:szCs w:val="16"/>
            </w:rPr>
            <w:instrText xml:space="preserve"> NUMPAGES </w:instrText>
          </w:r>
          <w:r w:rsidRPr="00AB0D76">
            <w:rPr>
              <w:rStyle w:val="PageNumber"/>
              <w:rFonts w:ascii="Arial" w:hAnsi="Arial" w:cs="Arial"/>
              <w:sz w:val="16"/>
              <w:szCs w:val="16"/>
            </w:rPr>
            <w:fldChar w:fldCharType="separate"/>
          </w:r>
          <w:r w:rsidR="009C146C">
            <w:rPr>
              <w:rStyle w:val="PageNumber"/>
              <w:rFonts w:ascii="Arial" w:hAnsi="Arial" w:cs="Arial"/>
              <w:noProof/>
              <w:sz w:val="16"/>
              <w:szCs w:val="16"/>
            </w:rPr>
            <w:t>2</w:t>
          </w:r>
          <w:r w:rsidRPr="00AB0D76">
            <w:rPr>
              <w:rStyle w:val="PageNumber"/>
              <w:rFonts w:ascii="Arial" w:hAnsi="Arial" w:cs="Arial"/>
              <w:sz w:val="16"/>
              <w:szCs w:val="16"/>
            </w:rPr>
            <w:fldChar w:fldCharType="end"/>
          </w:r>
        </w:p>
      </w:tc>
      <w:tc>
        <w:tcPr>
          <w:tcW w:w="1188" w:type="dxa"/>
          <w:shd w:val="clear" w:color="auto" w:fill="auto"/>
          <w:vAlign w:val="center"/>
        </w:tcPr>
        <w:p w:rsidR="00B273F4" w:rsidRPr="00AB0D76" w:rsidRDefault="00B273F4" w:rsidP="009C146C">
          <w:pPr>
            <w:pStyle w:val="Footer"/>
            <w:jc w:val="right"/>
            <w:rPr>
              <w:rFonts w:ascii="Arial" w:hAnsi="Arial" w:cs="Arial"/>
              <w:sz w:val="16"/>
              <w:szCs w:val="16"/>
            </w:rPr>
          </w:pPr>
          <w:r w:rsidRPr="00AB0D76">
            <w:rPr>
              <w:rFonts w:ascii="Arial" w:hAnsi="Arial" w:cs="Arial"/>
              <w:sz w:val="16"/>
              <w:szCs w:val="16"/>
            </w:rPr>
            <w:t xml:space="preserve">REV </w:t>
          </w:r>
          <w:r w:rsidR="009C146C">
            <w:rPr>
              <w:rFonts w:ascii="Arial" w:hAnsi="Arial" w:cs="Arial"/>
              <w:color w:val="FF0000"/>
              <w:sz w:val="16"/>
              <w:szCs w:val="16"/>
            </w:rPr>
            <w:t>A</w:t>
          </w:r>
        </w:p>
      </w:tc>
    </w:tr>
  </w:tbl>
  <w:p w:rsidR="00B273F4" w:rsidRPr="00895072" w:rsidRDefault="00B273F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B273F4" w:rsidRPr="006B663F" w:rsidRDefault="00B273F4"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66" w:rsidRDefault="002E6666">
      <w:r>
        <w:separator/>
      </w:r>
    </w:p>
  </w:footnote>
  <w:footnote w:type="continuationSeparator" w:id="0">
    <w:p w:rsidR="002E6666" w:rsidRDefault="002E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8B1129">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273F4" w:rsidRPr="00FA50E8" w:rsidRDefault="00B273F4" w:rsidP="006C2FD8">
    <w:pPr>
      <w:jc w:val="center"/>
      <w:rPr>
        <w:rFonts w:ascii="Arial" w:hAnsi="Arial"/>
        <w:b/>
      </w:rPr>
    </w:pPr>
    <w:r w:rsidRPr="006C2FD8">
      <w:rPr>
        <w:rFonts w:ascii="Arial" w:hAnsi="Arial"/>
        <w:sz w:val="28"/>
      </w:rPr>
      <w:t>User Guide:</w:t>
    </w:r>
    <w:r w:rsidR="00E962F9">
      <w:rPr>
        <w:rFonts w:ascii="Arial" w:hAnsi="Arial"/>
        <w:sz w:val="28"/>
      </w:rPr>
      <w:t xml:space="preserve"> </w:t>
    </w:r>
    <w:r w:rsidRPr="006C2FD8">
      <w:rPr>
        <w:rFonts w:ascii="Arial" w:hAnsi="Arial"/>
        <w:sz w:val="28"/>
      </w:rPr>
      <w:t xml:space="preserve"> </w:t>
    </w:r>
    <w:r w:rsidR="00114A26">
      <w:rPr>
        <w:rFonts w:ascii="Arial" w:hAnsi="Arial"/>
        <w:sz w:val="28"/>
      </w:rPr>
      <w:t>Certification Requests</w:t>
    </w:r>
  </w:p>
  <w:p w:rsidR="00B273F4" w:rsidRDefault="00B2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2B4C4129"/>
    <w:multiLevelType w:val="hybridMultilevel"/>
    <w:tmpl w:val="E63400F2"/>
    <w:lvl w:ilvl="0" w:tplc="A66E3950">
      <w:start w:val="1"/>
      <w:numFmt w:val="bullet"/>
      <w:lvlText w:val=""/>
      <w:lvlJc w:val="left"/>
      <w:pPr>
        <w:tabs>
          <w:tab w:val="num" w:pos="720"/>
        </w:tabs>
        <w:ind w:left="720" w:hanging="360"/>
      </w:pPr>
      <w:rPr>
        <w:rFonts w:ascii="Wingdings" w:hAnsi="Wingdings" w:hint="default"/>
      </w:rPr>
    </w:lvl>
    <w:lvl w:ilvl="1" w:tplc="38125EAA" w:tentative="1">
      <w:start w:val="1"/>
      <w:numFmt w:val="bullet"/>
      <w:lvlText w:val=""/>
      <w:lvlJc w:val="left"/>
      <w:pPr>
        <w:tabs>
          <w:tab w:val="num" w:pos="1440"/>
        </w:tabs>
        <w:ind w:left="1440" w:hanging="360"/>
      </w:pPr>
      <w:rPr>
        <w:rFonts w:ascii="Wingdings" w:hAnsi="Wingdings" w:hint="default"/>
      </w:rPr>
    </w:lvl>
    <w:lvl w:ilvl="2" w:tplc="28E40EE8" w:tentative="1">
      <w:start w:val="1"/>
      <w:numFmt w:val="bullet"/>
      <w:lvlText w:val=""/>
      <w:lvlJc w:val="left"/>
      <w:pPr>
        <w:tabs>
          <w:tab w:val="num" w:pos="2160"/>
        </w:tabs>
        <w:ind w:left="2160" w:hanging="360"/>
      </w:pPr>
      <w:rPr>
        <w:rFonts w:ascii="Wingdings" w:hAnsi="Wingdings" w:hint="default"/>
      </w:rPr>
    </w:lvl>
    <w:lvl w:ilvl="3" w:tplc="23F845EA" w:tentative="1">
      <w:start w:val="1"/>
      <w:numFmt w:val="bullet"/>
      <w:lvlText w:val=""/>
      <w:lvlJc w:val="left"/>
      <w:pPr>
        <w:tabs>
          <w:tab w:val="num" w:pos="2880"/>
        </w:tabs>
        <w:ind w:left="2880" w:hanging="360"/>
      </w:pPr>
      <w:rPr>
        <w:rFonts w:ascii="Wingdings" w:hAnsi="Wingdings" w:hint="default"/>
      </w:rPr>
    </w:lvl>
    <w:lvl w:ilvl="4" w:tplc="87683E34" w:tentative="1">
      <w:start w:val="1"/>
      <w:numFmt w:val="bullet"/>
      <w:lvlText w:val=""/>
      <w:lvlJc w:val="left"/>
      <w:pPr>
        <w:tabs>
          <w:tab w:val="num" w:pos="3600"/>
        </w:tabs>
        <w:ind w:left="3600" w:hanging="360"/>
      </w:pPr>
      <w:rPr>
        <w:rFonts w:ascii="Wingdings" w:hAnsi="Wingdings" w:hint="default"/>
      </w:rPr>
    </w:lvl>
    <w:lvl w:ilvl="5" w:tplc="D2C6A84E" w:tentative="1">
      <w:start w:val="1"/>
      <w:numFmt w:val="bullet"/>
      <w:lvlText w:val=""/>
      <w:lvlJc w:val="left"/>
      <w:pPr>
        <w:tabs>
          <w:tab w:val="num" w:pos="4320"/>
        </w:tabs>
        <w:ind w:left="4320" w:hanging="360"/>
      </w:pPr>
      <w:rPr>
        <w:rFonts w:ascii="Wingdings" w:hAnsi="Wingdings" w:hint="default"/>
      </w:rPr>
    </w:lvl>
    <w:lvl w:ilvl="6" w:tplc="51383FB0" w:tentative="1">
      <w:start w:val="1"/>
      <w:numFmt w:val="bullet"/>
      <w:lvlText w:val=""/>
      <w:lvlJc w:val="left"/>
      <w:pPr>
        <w:tabs>
          <w:tab w:val="num" w:pos="5040"/>
        </w:tabs>
        <w:ind w:left="5040" w:hanging="360"/>
      </w:pPr>
      <w:rPr>
        <w:rFonts w:ascii="Wingdings" w:hAnsi="Wingdings" w:hint="default"/>
      </w:rPr>
    </w:lvl>
    <w:lvl w:ilvl="7" w:tplc="D7FED73E" w:tentative="1">
      <w:start w:val="1"/>
      <w:numFmt w:val="bullet"/>
      <w:lvlText w:val=""/>
      <w:lvlJc w:val="left"/>
      <w:pPr>
        <w:tabs>
          <w:tab w:val="num" w:pos="5760"/>
        </w:tabs>
        <w:ind w:left="5760" w:hanging="360"/>
      </w:pPr>
      <w:rPr>
        <w:rFonts w:ascii="Wingdings" w:hAnsi="Wingdings" w:hint="default"/>
      </w:rPr>
    </w:lvl>
    <w:lvl w:ilvl="8" w:tplc="025E29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17A6F"/>
    <w:multiLevelType w:val="hybridMultilevel"/>
    <w:tmpl w:val="EEB2A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6"/>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542BC"/>
    <w:rsid w:val="00082940"/>
    <w:rsid w:val="000B48F6"/>
    <w:rsid w:val="000E3BBF"/>
    <w:rsid w:val="000F105A"/>
    <w:rsid w:val="00114A26"/>
    <w:rsid w:val="00115C69"/>
    <w:rsid w:val="001417D5"/>
    <w:rsid w:val="0016628D"/>
    <w:rsid w:val="00186F41"/>
    <w:rsid w:val="001D699F"/>
    <w:rsid w:val="001F0696"/>
    <w:rsid w:val="0020547D"/>
    <w:rsid w:val="0022518E"/>
    <w:rsid w:val="00246E67"/>
    <w:rsid w:val="00256A8E"/>
    <w:rsid w:val="00273E0E"/>
    <w:rsid w:val="002A2E02"/>
    <w:rsid w:val="002A7213"/>
    <w:rsid w:val="002A780E"/>
    <w:rsid w:val="002B41D1"/>
    <w:rsid w:val="002E6666"/>
    <w:rsid w:val="0030710F"/>
    <w:rsid w:val="00311C66"/>
    <w:rsid w:val="00330870"/>
    <w:rsid w:val="003330D4"/>
    <w:rsid w:val="00336957"/>
    <w:rsid w:val="00340E18"/>
    <w:rsid w:val="00345EE9"/>
    <w:rsid w:val="00347453"/>
    <w:rsid w:val="00367B08"/>
    <w:rsid w:val="00371F83"/>
    <w:rsid w:val="003C6E42"/>
    <w:rsid w:val="003D1065"/>
    <w:rsid w:val="00430AFE"/>
    <w:rsid w:val="004313F1"/>
    <w:rsid w:val="004B3295"/>
    <w:rsid w:val="004D350D"/>
    <w:rsid w:val="00500E26"/>
    <w:rsid w:val="005412BA"/>
    <w:rsid w:val="005651D4"/>
    <w:rsid w:val="00591DA1"/>
    <w:rsid w:val="00594421"/>
    <w:rsid w:val="005B6DF3"/>
    <w:rsid w:val="005E245A"/>
    <w:rsid w:val="005F1B6F"/>
    <w:rsid w:val="00630426"/>
    <w:rsid w:val="00631461"/>
    <w:rsid w:val="006435C0"/>
    <w:rsid w:val="006A0208"/>
    <w:rsid w:val="006B663F"/>
    <w:rsid w:val="006C2FD8"/>
    <w:rsid w:val="006C43AC"/>
    <w:rsid w:val="006D29DB"/>
    <w:rsid w:val="006D40EC"/>
    <w:rsid w:val="007163B2"/>
    <w:rsid w:val="00742BE0"/>
    <w:rsid w:val="00757EDB"/>
    <w:rsid w:val="007B5A90"/>
    <w:rsid w:val="007D2CD2"/>
    <w:rsid w:val="00802C10"/>
    <w:rsid w:val="008841BA"/>
    <w:rsid w:val="00895072"/>
    <w:rsid w:val="00896A67"/>
    <w:rsid w:val="008A0677"/>
    <w:rsid w:val="008B1129"/>
    <w:rsid w:val="00900D64"/>
    <w:rsid w:val="009156B1"/>
    <w:rsid w:val="00954189"/>
    <w:rsid w:val="00964CAC"/>
    <w:rsid w:val="00991C41"/>
    <w:rsid w:val="009B67E6"/>
    <w:rsid w:val="009C146C"/>
    <w:rsid w:val="009C7C6B"/>
    <w:rsid w:val="00A25E93"/>
    <w:rsid w:val="00A46EF4"/>
    <w:rsid w:val="00A6329F"/>
    <w:rsid w:val="00AB0D76"/>
    <w:rsid w:val="00AB30F6"/>
    <w:rsid w:val="00B059E4"/>
    <w:rsid w:val="00B273F4"/>
    <w:rsid w:val="00B63CF4"/>
    <w:rsid w:val="00B81885"/>
    <w:rsid w:val="00B82B69"/>
    <w:rsid w:val="00BB23D5"/>
    <w:rsid w:val="00BB4667"/>
    <w:rsid w:val="00BD2918"/>
    <w:rsid w:val="00BF0CC6"/>
    <w:rsid w:val="00C0309C"/>
    <w:rsid w:val="00C348DA"/>
    <w:rsid w:val="00C53EA6"/>
    <w:rsid w:val="00C700F2"/>
    <w:rsid w:val="00C7659E"/>
    <w:rsid w:val="00C96A5D"/>
    <w:rsid w:val="00CA0DC1"/>
    <w:rsid w:val="00CD2070"/>
    <w:rsid w:val="00D04DF5"/>
    <w:rsid w:val="00D17461"/>
    <w:rsid w:val="00D91357"/>
    <w:rsid w:val="00E020F2"/>
    <w:rsid w:val="00E3677A"/>
    <w:rsid w:val="00E418AD"/>
    <w:rsid w:val="00E52623"/>
    <w:rsid w:val="00E62024"/>
    <w:rsid w:val="00E935C3"/>
    <w:rsid w:val="00E95538"/>
    <w:rsid w:val="00E95D3C"/>
    <w:rsid w:val="00E962F9"/>
    <w:rsid w:val="00EA5B7E"/>
    <w:rsid w:val="00EB65E9"/>
    <w:rsid w:val="00EB682B"/>
    <w:rsid w:val="00EC31A9"/>
    <w:rsid w:val="00F53273"/>
    <w:rsid w:val="00F67121"/>
    <w:rsid w:val="00F90E09"/>
    <w:rsid w:val="00FA50E8"/>
    <w:rsid w:val="00FE0531"/>
    <w:rsid w:val="00FF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13FAD2C"/>
  <w15:chartTrackingRefBased/>
  <w15:docId w15:val="{22478CBA-045D-45B9-B975-9B1A42D7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ListParagraph">
    <w:name w:val="List Paragraph"/>
    <w:basedOn w:val="Normal"/>
    <w:uiPriority w:val="34"/>
    <w:qFormat/>
    <w:rsid w:val="00964CAC"/>
    <w:pPr>
      <w:overflowPunct/>
      <w:autoSpaceDE/>
      <w:autoSpaceDN/>
      <w:adjustRightInd/>
      <w:ind w:left="720"/>
      <w:contextualSpacing/>
      <w:textAlignment w:val="auto"/>
    </w:pPr>
    <w:rPr>
      <w:sz w:val="24"/>
      <w:szCs w:val="24"/>
    </w:rPr>
  </w:style>
  <w:style w:type="character" w:styleId="Hyperlink">
    <w:name w:val="Hyperlink"/>
    <w:rsid w:val="00964CAC"/>
    <w:rPr>
      <w:color w:val="0000FF"/>
      <w:u w:val="single"/>
    </w:rPr>
  </w:style>
  <w:style w:type="character" w:styleId="FollowedHyperlink">
    <w:name w:val="FollowedHyperlink"/>
    <w:basedOn w:val="DefaultParagraphFont"/>
    <w:rsid w:val="000542BC"/>
    <w:rPr>
      <w:color w:val="954F72" w:themeColor="followedHyperlink"/>
      <w:u w:val="single"/>
    </w:rPr>
  </w:style>
  <w:style w:type="paragraph" w:styleId="BalloonText">
    <w:name w:val="Balloon Text"/>
    <w:basedOn w:val="Normal"/>
    <w:link w:val="BalloonTextChar"/>
    <w:rsid w:val="009C146C"/>
    <w:rPr>
      <w:rFonts w:ascii="Segoe UI" w:hAnsi="Segoe UI" w:cs="Segoe UI"/>
      <w:sz w:val="18"/>
      <w:szCs w:val="18"/>
    </w:rPr>
  </w:style>
  <w:style w:type="character" w:customStyle="1" w:styleId="BalloonTextChar">
    <w:name w:val="Balloon Text Char"/>
    <w:basedOn w:val="DefaultParagraphFont"/>
    <w:link w:val="BalloonText"/>
    <w:rsid w:val="009C1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2488">
      <w:bodyDiv w:val="1"/>
      <w:marLeft w:val="0"/>
      <w:marRight w:val="0"/>
      <w:marTop w:val="0"/>
      <w:marBottom w:val="0"/>
      <w:divBdr>
        <w:top w:val="none" w:sz="0" w:space="0" w:color="auto"/>
        <w:left w:val="none" w:sz="0" w:space="0" w:color="auto"/>
        <w:bottom w:val="none" w:sz="0" w:space="0" w:color="auto"/>
        <w:right w:val="none" w:sz="0" w:space="0" w:color="auto"/>
      </w:divBdr>
      <w:divsChild>
        <w:div w:id="1706364709">
          <w:marLeft w:val="576"/>
          <w:marRight w:val="0"/>
          <w:marTop w:val="115"/>
          <w:marBottom w:val="0"/>
          <w:divBdr>
            <w:top w:val="none" w:sz="0" w:space="0" w:color="auto"/>
            <w:left w:val="none" w:sz="0" w:space="0" w:color="auto"/>
            <w:bottom w:val="none" w:sz="0" w:space="0" w:color="auto"/>
            <w:right w:val="none" w:sz="0" w:space="0" w:color="auto"/>
          </w:divBdr>
        </w:div>
      </w:divsChild>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1731344955">
      <w:bodyDiv w:val="1"/>
      <w:marLeft w:val="0"/>
      <w:marRight w:val="0"/>
      <w:marTop w:val="0"/>
      <w:marBottom w:val="0"/>
      <w:divBdr>
        <w:top w:val="none" w:sz="0" w:space="0" w:color="auto"/>
        <w:left w:val="none" w:sz="0" w:space="0" w:color="auto"/>
        <w:bottom w:val="none" w:sz="0" w:space="0" w:color="auto"/>
        <w:right w:val="none" w:sz="0" w:space="0" w:color="auto"/>
      </w:divBdr>
      <w:divsChild>
        <w:div w:id="1871070242">
          <w:marLeft w:val="57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NYDFS01\Shared\Quality\Records%20-%20Certification%20Requests%20(RA001%20forms)\2015\Certification%20Request%20Log%202015.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CS001.DOT</Template>
  <TotalTime>13</TotalTime>
  <Pages>2</Pages>
  <Words>823</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5549</CharactersWithSpaces>
  <SharedDoc>false</SharedDoc>
  <HLinks>
    <vt:vector size="30" baseType="variant">
      <vt:variant>
        <vt:i4>3342431</vt:i4>
      </vt:variant>
      <vt:variant>
        <vt:i4>0</vt:i4>
      </vt:variant>
      <vt:variant>
        <vt:i4>0</vt:i4>
      </vt:variant>
      <vt:variant>
        <vt:i4>5</vt:i4>
      </vt:variant>
      <vt:variant>
        <vt:lpwstr>\\NYDFS01\Shared\Quality\Records - Certification Requests (RA001 forms)\2015\Certification Request Log 2015.xlsx</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%UserName%</cp:lastModifiedBy>
  <cp:revision>3</cp:revision>
  <cp:lastPrinted>2018-09-14T14:00:00Z</cp:lastPrinted>
  <dcterms:created xsi:type="dcterms:W3CDTF">2018-09-14T13:59:00Z</dcterms:created>
  <dcterms:modified xsi:type="dcterms:W3CDTF">2018-09-14T14:12:00Z</dcterms:modified>
</cp:coreProperties>
</file>