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C3" w:rsidRDefault="00A03527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22189555" w:history="1">
        <w:r w:rsidR="000F5CC3" w:rsidRPr="001B26FC">
          <w:rPr>
            <w:rStyle w:val="Hyperlink"/>
            <w:rFonts w:asciiTheme="majorHAnsi" w:hAnsiTheme="majorHAnsi"/>
            <w:noProof/>
          </w:rPr>
          <w:t>Purpose: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_Toc522189555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0F5CC3" w:rsidRDefault="00787034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189556" w:history="1">
        <w:r w:rsidR="000F5CC3" w:rsidRPr="001B26FC">
          <w:rPr>
            <w:rStyle w:val="Hyperlink"/>
            <w:rFonts w:asciiTheme="majorHAnsi" w:hAnsiTheme="majorHAnsi"/>
            <w:noProof/>
          </w:rPr>
          <w:t>Related Documents: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_Toc522189556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0F5CC3" w:rsidRDefault="00787034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189557" w:history="1">
        <w:r w:rsidR="000F5CC3" w:rsidRPr="001B26FC">
          <w:rPr>
            <w:rStyle w:val="Hyperlink"/>
            <w:rFonts w:asciiTheme="majorHAnsi" w:hAnsiTheme="majorHAnsi"/>
            <w:noProof/>
          </w:rPr>
          <w:t>Responsible: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_Toc522189557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0F5CC3" w:rsidRDefault="00787034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189558" w:history="1">
        <w:r w:rsidR="000F5CC3" w:rsidRPr="001B26FC">
          <w:rPr>
            <w:rStyle w:val="Hyperlink"/>
            <w:rFonts w:asciiTheme="majorHAnsi" w:hAnsiTheme="majorHAnsi"/>
            <w:noProof/>
          </w:rPr>
          <w:t>Rules: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_Toc522189558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0F5CC3" w:rsidRDefault="00787034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189559" w:history="1">
        <w:r w:rsidR="000F5CC3" w:rsidRPr="001B26FC">
          <w:rPr>
            <w:rStyle w:val="Hyperlink"/>
            <w:rFonts w:asciiTheme="majorHAnsi" w:hAnsiTheme="majorHAnsi"/>
            <w:noProof/>
          </w:rPr>
          <w:t>IT Setup: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_Toc522189559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0F5CC3" w:rsidRDefault="00787034" w:rsidP="000F5C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2189560" w:history="1">
        <w:r w:rsidR="000F5CC3" w:rsidRPr="001B26FC">
          <w:rPr>
            <w:rStyle w:val="Hyperlink"/>
            <w:rFonts w:asciiTheme="majorHAnsi" w:hAnsiTheme="majorHAnsi"/>
            <w:noProof/>
          </w:rPr>
          <w:t>Instructions:</w:t>
        </w:r>
        <w:r w:rsidR="000F5CC3">
          <w:rPr>
            <w:noProof/>
            <w:webHidden/>
          </w:rPr>
          <w:tab/>
        </w:r>
        <w:r w:rsidR="000F5CC3">
          <w:rPr>
            <w:noProof/>
            <w:webHidden/>
          </w:rPr>
          <w:fldChar w:fldCharType="begin"/>
        </w:r>
        <w:r w:rsidR="000F5CC3">
          <w:rPr>
            <w:noProof/>
            <w:webHidden/>
          </w:rPr>
          <w:instrText xml:space="preserve"> PAGEREF _Toc522189560 \h </w:instrText>
        </w:r>
        <w:r w:rsidR="000F5CC3">
          <w:rPr>
            <w:noProof/>
            <w:webHidden/>
          </w:rPr>
        </w:r>
        <w:r w:rsidR="000F5CC3">
          <w:rPr>
            <w:noProof/>
            <w:webHidden/>
          </w:rPr>
          <w:fldChar w:fldCharType="separate"/>
        </w:r>
        <w:r w:rsidR="000F5CC3">
          <w:rPr>
            <w:noProof/>
            <w:webHidden/>
          </w:rPr>
          <w:t>1</w:t>
        </w:r>
        <w:r w:rsidR="000F5CC3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Pr="00F06187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sz w:val="24"/>
        </w:rPr>
      </w:pPr>
      <w:bookmarkStart w:id="0" w:name="_Toc354142543"/>
      <w:bookmarkStart w:id="1" w:name="_Toc522189555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E61D7C">
        <w:rPr>
          <w:rFonts w:asciiTheme="majorHAnsi" w:hAnsiTheme="majorHAnsi"/>
          <w:sz w:val="24"/>
        </w:rPr>
        <w:tab/>
      </w:r>
    </w:p>
    <w:p w:rsidR="00514705" w:rsidRPr="00ED09AF" w:rsidRDefault="00BA706B" w:rsidP="00514705">
      <w:r>
        <w:t>To provide planning with information on Items that should be reviewed and sent for Re-calibration or to Engineering/Sales to determine if Item(s) can be reworked for consumption.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2" w:name="_Toc354142545"/>
      <w:bookmarkStart w:id="3" w:name="_Toc522189557"/>
      <w:bookmarkStart w:id="4" w:name="_Toc320523326"/>
      <w:r w:rsidRPr="00F06187">
        <w:rPr>
          <w:rFonts w:asciiTheme="majorHAnsi" w:hAnsiTheme="majorHAnsi"/>
          <w:sz w:val="24"/>
        </w:rPr>
        <w:t>Responsible:</w:t>
      </w:r>
      <w:bookmarkEnd w:id="2"/>
      <w:bookmarkEnd w:id="3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BA706B">
        <w:rPr>
          <w:rFonts w:asciiTheme="majorHAnsi" w:hAnsiTheme="majorHAnsi"/>
          <w:sz w:val="22"/>
          <w:szCs w:val="22"/>
        </w:rPr>
        <w:t>Planning Manager,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BA706B">
        <w:rPr>
          <w:rFonts w:asciiTheme="majorHAnsi" w:hAnsiTheme="majorHAnsi"/>
          <w:sz w:val="22"/>
          <w:szCs w:val="22"/>
        </w:rPr>
        <w:t xml:space="preserve"> Supply Chain or Operations Administrative Assistant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A03527" w:rsidRPr="00506819" w:rsidRDefault="00A03527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6"/>
      <w:bookmarkStart w:id="6" w:name="_Toc522189558"/>
      <w:r w:rsidRPr="00F06187">
        <w:rPr>
          <w:rFonts w:asciiTheme="majorHAnsi" w:hAnsiTheme="majorHAnsi"/>
          <w:sz w:val="24"/>
        </w:rPr>
        <w:t>Rules:</w:t>
      </w:r>
      <w:bookmarkEnd w:id="5"/>
      <w:bookmarkEnd w:id="6"/>
      <w:r w:rsidRPr="00F06187">
        <w:rPr>
          <w:rFonts w:asciiTheme="majorHAnsi" w:hAnsiTheme="majorHAnsi"/>
          <w:sz w:val="24"/>
        </w:rPr>
        <w:t xml:space="preserve"> </w:t>
      </w:r>
      <w:bookmarkEnd w:id="4"/>
    </w:p>
    <w:p w:rsidR="00A03527" w:rsidRPr="000F5CC3" w:rsidRDefault="000E50BF" w:rsidP="000F5CC3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t>Report is created once a week on Monday’s.</w:t>
      </w:r>
    </w:p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</w:p>
    <w:p w:rsidR="00000B3D" w:rsidRDefault="00000B3D" w:rsidP="00000B3D">
      <w:pPr>
        <w:pStyle w:val="Heading1"/>
        <w:rPr>
          <w:rFonts w:asciiTheme="majorHAnsi" w:hAnsiTheme="majorHAnsi"/>
          <w:sz w:val="22"/>
          <w:szCs w:val="22"/>
        </w:rPr>
      </w:pPr>
      <w:bookmarkStart w:id="7" w:name="_Toc522189559"/>
      <w:r w:rsidRPr="00A610A6">
        <w:rPr>
          <w:rFonts w:asciiTheme="majorHAnsi" w:hAnsiTheme="majorHAnsi"/>
          <w:sz w:val="22"/>
          <w:szCs w:val="22"/>
        </w:rPr>
        <w:t xml:space="preserve">IT </w:t>
      </w:r>
      <w:r w:rsidR="00A610A6" w:rsidRPr="00A610A6">
        <w:rPr>
          <w:rFonts w:asciiTheme="majorHAnsi" w:hAnsiTheme="majorHAnsi"/>
          <w:sz w:val="22"/>
          <w:szCs w:val="22"/>
        </w:rPr>
        <w:t>Setup</w:t>
      </w:r>
      <w:r w:rsidRPr="00A610A6">
        <w:rPr>
          <w:rFonts w:asciiTheme="majorHAnsi" w:hAnsiTheme="majorHAnsi"/>
          <w:sz w:val="22"/>
          <w:szCs w:val="22"/>
        </w:rPr>
        <w:t>:</w:t>
      </w:r>
      <w:bookmarkEnd w:id="7"/>
    </w:p>
    <w:p w:rsidR="005862D7" w:rsidRDefault="00EC7276" w:rsidP="005862D7">
      <w:pPr>
        <w:pStyle w:val="ListParagraph"/>
        <w:numPr>
          <w:ilvl w:val="0"/>
          <w:numId w:val="14"/>
        </w:numPr>
      </w:pPr>
      <w:r>
        <w:t>Send an E-mail to IT requesting to be added to the distribution list of the Business Objects Report called “Weekly Recal Report”</w:t>
      </w:r>
    </w:p>
    <w:p w:rsidR="005862D7" w:rsidRPr="005862D7" w:rsidRDefault="005862D7" w:rsidP="005862D7">
      <w:pPr>
        <w:pStyle w:val="ListParagraph"/>
        <w:numPr>
          <w:ilvl w:val="1"/>
          <w:numId w:val="14"/>
        </w:numPr>
      </w:pPr>
      <w:r>
        <w:t>This report is created</w:t>
      </w:r>
      <w:r w:rsidR="00EC7276">
        <w:t>/distributed</w:t>
      </w:r>
      <w:r w:rsidR="000A4552">
        <w:t xml:space="preserve"> to your e-mail address</w:t>
      </w:r>
      <w:r>
        <w:t xml:space="preserve"> on Monday’s</w:t>
      </w:r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8" w:name="_Toc522189560"/>
      <w:r w:rsidRPr="00A610A6">
        <w:rPr>
          <w:rFonts w:asciiTheme="majorHAnsi" w:hAnsiTheme="majorHAnsi"/>
          <w:sz w:val="22"/>
          <w:szCs w:val="22"/>
        </w:rPr>
        <w:t>Instructions:</w:t>
      </w:r>
      <w:bookmarkEnd w:id="8"/>
    </w:p>
    <w:p w:rsidR="00DF0D6A" w:rsidRDefault="00915529" w:rsidP="00DF0D6A">
      <w:pPr>
        <w:pStyle w:val="ListParagraph"/>
        <w:numPr>
          <w:ilvl w:val="0"/>
          <w:numId w:val="13"/>
        </w:numPr>
      </w:pPr>
      <w:r>
        <w:t>Open the business objects report called Weekly Recal Report</w:t>
      </w:r>
    </w:p>
    <w:p w:rsidR="00915529" w:rsidRDefault="00915529" w:rsidP="00915529">
      <w:pPr>
        <w:pStyle w:val="ListParagraph"/>
        <w:numPr>
          <w:ilvl w:val="0"/>
          <w:numId w:val="13"/>
        </w:numPr>
      </w:pPr>
      <w:r>
        <w:t>Open Weekly Recal Report Template in exce</w:t>
      </w:r>
      <w:bookmarkStart w:id="9" w:name="_GoBack"/>
      <w:bookmarkEnd w:id="9"/>
      <w:r>
        <w:t>l found in R:\Supply Chain\Planning\YYYY</w:t>
      </w:r>
      <w:r w:rsidRPr="00915529">
        <w:t>\Recal Report</w:t>
      </w:r>
    </w:p>
    <w:p w:rsidR="00DF0D6A" w:rsidRDefault="00DF0D6A" w:rsidP="00DF0D6A">
      <w:pPr>
        <w:pStyle w:val="ListParagraph"/>
        <w:numPr>
          <w:ilvl w:val="1"/>
          <w:numId w:val="13"/>
        </w:numPr>
      </w:pPr>
      <w:r>
        <w:t>Monthly-on the first fiscal Monday of the month:</w:t>
      </w:r>
    </w:p>
    <w:p w:rsidR="00DF0D6A" w:rsidRDefault="00DF0D6A" w:rsidP="00DF0D6A">
      <w:pPr>
        <w:pStyle w:val="ListParagraph"/>
        <w:numPr>
          <w:ilvl w:val="2"/>
          <w:numId w:val="13"/>
        </w:numPr>
      </w:pPr>
      <w:proofErr w:type="gramStart"/>
      <w:r>
        <w:t>the</w:t>
      </w:r>
      <w:proofErr w:type="gramEnd"/>
      <w:r>
        <w:t xml:space="preserve"> template needs to be updated so that in column N’s the </w:t>
      </w:r>
      <w:r w:rsidRPr="00DF0D6A">
        <w:t xml:space="preserve">denominator </w:t>
      </w:r>
      <w:r>
        <w:t xml:space="preserve">of the formula </w:t>
      </w:r>
      <w:proofErr w:type="spellStart"/>
      <w:r>
        <w:t>relects</w:t>
      </w:r>
      <w:proofErr w:type="spellEnd"/>
      <w:r>
        <w:t xml:space="preserve"> the number of fiscal months that have past plus 12 months.</w:t>
      </w:r>
    </w:p>
    <w:p w:rsidR="00DF0D6A" w:rsidRDefault="00DF0D6A" w:rsidP="00DF0D6A">
      <w:pPr>
        <w:pStyle w:val="ListParagraph"/>
        <w:numPr>
          <w:ilvl w:val="2"/>
          <w:numId w:val="13"/>
        </w:numPr>
      </w:pPr>
      <w:r>
        <w:t>Save the Template</w:t>
      </w:r>
    </w:p>
    <w:p w:rsidR="00915529" w:rsidRDefault="00915529" w:rsidP="00915529">
      <w:pPr>
        <w:pStyle w:val="ListParagraph"/>
        <w:numPr>
          <w:ilvl w:val="1"/>
          <w:numId w:val="13"/>
        </w:numPr>
      </w:pPr>
      <w:r>
        <w:t>Save File as “YY-MM-DD Weekly Recal Report”</w:t>
      </w:r>
    </w:p>
    <w:p w:rsidR="000E50BF" w:rsidRDefault="00A150FB" w:rsidP="000E50BF">
      <w:pPr>
        <w:pStyle w:val="ListParagraph"/>
        <w:numPr>
          <w:ilvl w:val="0"/>
          <w:numId w:val="13"/>
        </w:numPr>
      </w:pPr>
      <w:r>
        <w:t xml:space="preserve">Copy </w:t>
      </w:r>
      <w:r w:rsidRPr="00A150FB">
        <w:rPr>
          <w:color w:val="FF0000"/>
        </w:rPr>
        <w:t>A3 to I3</w:t>
      </w:r>
      <w:r w:rsidR="000E50BF" w:rsidRPr="00A150FB">
        <w:rPr>
          <w:color w:val="FF0000"/>
        </w:rPr>
        <w:t xml:space="preserve"> </w:t>
      </w:r>
      <w:r w:rsidR="000E50BF">
        <w:t>and down from the business objects report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>Paste data into A7 of the YY-MM-DD Weekly Recal Report</w:t>
      </w:r>
    </w:p>
    <w:p w:rsidR="00DF0D6A" w:rsidRDefault="000E50BF" w:rsidP="00DF0D6A">
      <w:pPr>
        <w:pStyle w:val="ListParagraph"/>
        <w:numPr>
          <w:ilvl w:val="0"/>
          <w:numId w:val="13"/>
        </w:numPr>
      </w:pPr>
      <w:r>
        <w:t xml:space="preserve">Update </w:t>
      </w:r>
      <w:r w:rsidR="000F5CC3">
        <w:t>“Generate date” to “today’s date”,</w:t>
      </w:r>
      <w:r>
        <w:t xml:space="preserve"> in cell D3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>Copy Formula’s in columns J-P down to the bottom of the data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>Calculate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 xml:space="preserve">Copy and paste values in columns J-P to </w:t>
      </w:r>
      <w:r w:rsidR="00EC7276">
        <w:t>get</w:t>
      </w:r>
      <w:r>
        <w:t xml:space="preserve"> rid of formulas. 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>Highlight J8-P8 and change fill color to “no fill”</w:t>
      </w:r>
    </w:p>
    <w:p w:rsidR="000E50BF" w:rsidRDefault="00EC7276" w:rsidP="000E50BF">
      <w:pPr>
        <w:pStyle w:val="ListParagraph"/>
        <w:numPr>
          <w:ilvl w:val="0"/>
          <w:numId w:val="13"/>
        </w:numPr>
      </w:pPr>
      <w:r>
        <w:t>Highlight</w:t>
      </w:r>
      <w:r w:rsidR="000E50BF">
        <w:t xml:space="preserve"> J7-P7 and J8-P8 and click the format painter button</w:t>
      </w:r>
    </w:p>
    <w:p w:rsidR="000E50BF" w:rsidRDefault="000E50BF" w:rsidP="000E50BF">
      <w:pPr>
        <w:pStyle w:val="ListParagraph"/>
        <w:numPr>
          <w:ilvl w:val="0"/>
          <w:numId w:val="13"/>
        </w:numPr>
      </w:pPr>
      <w:r>
        <w:t>Paint all of the rows after row 8 to make rows grey/white every other row</w:t>
      </w:r>
    </w:p>
    <w:p w:rsidR="000E50BF" w:rsidRDefault="0084609A" w:rsidP="000E50BF">
      <w:pPr>
        <w:pStyle w:val="ListParagraph"/>
        <w:numPr>
          <w:ilvl w:val="0"/>
          <w:numId w:val="13"/>
        </w:numPr>
      </w:pPr>
      <w:r>
        <w:t>On the Pivot tab click anywhere in the pivot table</w:t>
      </w:r>
    </w:p>
    <w:p w:rsidR="0084609A" w:rsidRDefault="0084609A" w:rsidP="000E50BF">
      <w:pPr>
        <w:pStyle w:val="ListParagraph"/>
        <w:numPr>
          <w:ilvl w:val="0"/>
          <w:numId w:val="13"/>
        </w:numPr>
      </w:pPr>
      <w:r>
        <w:t>Click analyze and select “Change data Source”</w:t>
      </w:r>
    </w:p>
    <w:p w:rsidR="0084609A" w:rsidRDefault="0084609A" w:rsidP="000E50BF">
      <w:pPr>
        <w:pStyle w:val="ListParagraph"/>
        <w:numPr>
          <w:ilvl w:val="0"/>
          <w:numId w:val="13"/>
        </w:numPr>
      </w:pPr>
      <w:r>
        <w:t>Select all data starting in row 6 of the “Weekly Recal Report” tab</w:t>
      </w:r>
    </w:p>
    <w:p w:rsidR="0084609A" w:rsidRDefault="0084609A" w:rsidP="000E50BF">
      <w:pPr>
        <w:pStyle w:val="ListParagraph"/>
        <w:numPr>
          <w:ilvl w:val="0"/>
          <w:numId w:val="13"/>
        </w:numPr>
      </w:pPr>
      <w:r>
        <w:t>Hit Okay</w:t>
      </w:r>
    </w:p>
    <w:p w:rsidR="0084609A" w:rsidRDefault="0084609A" w:rsidP="000E50BF">
      <w:pPr>
        <w:pStyle w:val="ListParagraph"/>
        <w:numPr>
          <w:ilvl w:val="0"/>
          <w:numId w:val="13"/>
        </w:numPr>
      </w:pPr>
      <w:r>
        <w:t>Save File</w:t>
      </w:r>
    </w:p>
    <w:p w:rsidR="0084609A" w:rsidRPr="00ED09AF" w:rsidRDefault="0084609A" w:rsidP="000E50BF">
      <w:pPr>
        <w:pStyle w:val="ListParagraph"/>
        <w:numPr>
          <w:ilvl w:val="0"/>
          <w:numId w:val="13"/>
        </w:numPr>
      </w:pPr>
      <w:r>
        <w:t>Use existing E-mail and update the hyperlink before sending</w:t>
      </w:r>
    </w:p>
    <w:p w:rsidR="00DA6607" w:rsidRPr="00A610A6" w:rsidRDefault="00DA6607" w:rsidP="009E04F2">
      <w:pPr>
        <w:pStyle w:val="Default"/>
        <w:rPr>
          <w:rFonts w:asciiTheme="majorHAnsi" w:hAnsiTheme="majorHAnsi"/>
          <w:sz w:val="22"/>
          <w:szCs w:val="22"/>
        </w:rPr>
      </w:pPr>
    </w:p>
    <w:sectPr w:rsidR="00DA6607" w:rsidRPr="00A610A6" w:rsidSect="006B663F">
      <w:headerReference w:type="default" r:id="rId8"/>
      <w:footerReference w:type="default" r:id="rId9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C4" w:rsidRDefault="00603BC4">
      <w:r>
        <w:separator/>
      </w:r>
    </w:p>
  </w:endnote>
  <w:endnote w:type="continuationSeparator" w:id="0">
    <w:p w:rsidR="00603BC4" w:rsidRDefault="006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210AE3" w:rsidP="00210AE3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PL1057</w:t>
          </w:r>
        </w:p>
      </w:tc>
    </w:tr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87034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787034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F06187" w:rsidRDefault="00603BC4" w:rsidP="00787034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REV </w:t>
          </w:r>
          <w:r w:rsidR="00787034">
            <w:rPr>
              <w:rFonts w:asciiTheme="majorHAnsi" w:hAnsiTheme="majorHAnsi" w:cs="Arial"/>
              <w:sz w:val="16"/>
              <w:szCs w:val="16"/>
            </w:rPr>
            <w:t>A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C4" w:rsidRDefault="00603BC4">
      <w:r>
        <w:separator/>
      </w:r>
    </w:p>
  </w:footnote>
  <w:footnote w:type="continuationSeparator" w:id="0">
    <w:p w:rsidR="00603BC4" w:rsidRDefault="006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2E6B88">
      <w:rPr>
        <w:rFonts w:asciiTheme="majorHAnsi" w:hAnsiTheme="majorHAnsi"/>
        <w:sz w:val="28"/>
      </w:rPr>
      <w:t>Weekly Recal Report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472D0"/>
    <w:multiLevelType w:val="hybridMultilevel"/>
    <w:tmpl w:val="E1A41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07F90"/>
    <w:multiLevelType w:val="hybridMultilevel"/>
    <w:tmpl w:val="17B4B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52B5D"/>
    <w:multiLevelType w:val="hybridMultilevel"/>
    <w:tmpl w:val="A74C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568B"/>
    <w:rsid w:val="000A4552"/>
    <w:rsid w:val="000B48F6"/>
    <w:rsid w:val="000D6E54"/>
    <w:rsid w:val="000E3BBF"/>
    <w:rsid w:val="000E50BF"/>
    <w:rsid w:val="000F105A"/>
    <w:rsid w:val="000F5CC3"/>
    <w:rsid w:val="0010269B"/>
    <w:rsid w:val="00115C69"/>
    <w:rsid w:val="00116F2A"/>
    <w:rsid w:val="00184000"/>
    <w:rsid w:val="00186F41"/>
    <w:rsid w:val="001D699F"/>
    <w:rsid w:val="001E7032"/>
    <w:rsid w:val="001F0696"/>
    <w:rsid w:val="0020547D"/>
    <w:rsid w:val="00210AE3"/>
    <w:rsid w:val="0022518E"/>
    <w:rsid w:val="00273E0E"/>
    <w:rsid w:val="002A2E02"/>
    <w:rsid w:val="002A5325"/>
    <w:rsid w:val="002E6B88"/>
    <w:rsid w:val="002F6A65"/>
    <w:rsid w:val="0030710F"/>
    <w:rsid w:val="00311C66"/>
    <w:rsid w:val="00330870"/>
    <w:rsid w:val="00336957"/>
    <w:rsid w:val="00340422"/>
    <w:rsid w:val="0034501A"/>
    <w:rsid w:val="00367B08"/>
    <w:rsid w:val="00384C41"/>
    <w:rsid w:val="003D1065"/>
    <w:rsid w:val="003F5A07"/>
    <w:rsid w:val="004313F1"/>
    <w:rsid w:val="0047366A"/>
    <w:rsid w:val="004958B9"/>
    <w:rsid w:val="004A02E1"/>
    <w:rsid w:val="004B3295"/>
    <w:rsid w:val="004D350D"/>
    <w:rsid w:val="00511131"/>
    <w:rsid w:val="00514705"/>
    <w:rsid w:val="005651D4"/>
    <w:rsid w:val="005862D7"/>
    <w:rsid w:val="00591DA1"/>
    <w:rsid w:val="005A5280"/>
    <w:rsid w:val="005B6DF3"/>
    <w:rsid w:val="005B7F91"/>
    <w:rsid w:val="005E245A"/>
    <w:rsid w:val="005F7218"/>
    <w:rsid w:val="00603BC4"/>
    <w:rsid w:val="00631461"/>
    <w:rsid w:val="006435C0"/>
    <w:rsid w:val="006A0208"/>
    <w:rsid w:val="006B1728"/>
    <w:rsid w:val="006B663F"/>
    <w:rsid w:val="006C2FD8"/>
    <w:rsid w:val="006C43AC"/>
    <w:rsid w:val="006D29DB"/>
    <w:rsid w:val="006D40EC"/>
    <w:rsid w:val="0070359A"/>
    <w:rsid w:val="00723502"/>
    <w:rsid w:val="00742BE0"/>
    <w:rsid w:val="007527CB"/>
    <w:rsid w:val="00787034"/>
    <w:rsid w:val="007A0518"/>
    <w:rsid w:val="007B1AD8"/>
    <w:rsid w:val="007D0F9C"/>
    <w:rsid w:val="007D2CD2"/>
    <w:rsid w:val="00807827"/>
    <w:rsid w:val="008159DF"/>
    <w:rsid w:val="008207ED"/>
    <w:rsid w:val="00823EB0"/>
    <w:rsid w:val="0084609A"/>
    <w:rsid w:val="00851E25"/>
    <w:rsid w:val="008841BA"/>
    <w:rsid w:val="00895072"/>
    <w:rsid w:val="008A0677"/>
    <w:rsid w:val="00900D64"/>
    <w:rsid w:val="00915529"/>
    <w:rsid w:val="00917293"/>
    <w:rsid w:val="00932D70"/>
    <w:rsid w:val="00976058"/>
    <w:rsid w:val="00991C41"/>
    <w:rsid w:val="009A5A3B"/>
    <w:rsid w:val="009C5302"/>
    <w:rsid w:val="009C7C6B"/>
    <w:rsid w:val="009E04F2"/>
    <w:rsid w:val="00A03527"/>
    <w:rsid w:val="00A150FB"/>
    <w:rsid w:val="00A25E93"/>
    <w:rsid w:val="00A46EF4"/>
    <w:rsid w:val="00A610A6"/>
    <w:rsid w:val="00A6329F"/>
    <w:rsid w:val="00AB30F6"/>
    <w:rsid w:val="00AB45DD"/>
    <w:rsid w:val="00B059E4"/>
    <w:rsid w:val="00B06CA1"/>
    <w:rsid w:val="00B273F4"/>
    <w:rsid w:val="00B45B4B"/>
    <w:rsid w:val="00B63CF4"/>
    <w:rsid w:val="00BA706B"/>
    <w:rsid w:val="00BB4667"/>
    <w:rsid w:val="00BF0CC6"/>
    <w:rsid w:val="00C0309C"/>
    <w:rsid w:val="00C234B5"/>
    <w:rsid w:val="00C348DA"/>
    <w:rsid w:val="00C53EA6"/>
    <w:rsid w:val="00C700F2"/>
    <w:rsid w:val="00CA0DC1"/>
    <w:rsid w:val="00CD2070"/>
    <w:rsid w:val="00CE1C9C"/>
    <w:rsid w:val="00D04DF5"/>
    <w:rsid w:val="00D1709C"/>
    <w:rsid w:val="00D60AD7"/>
    <w:rsid w:val="00D81FFE"/>
    <w:rsid w:val="00D91357"/>
    <w:rsid w:val="00DA6607"/>
    <w:rsid w:val="00DE05F5"/>
    <w:rsid w:val="00DF0D6A"/>
    <w:rsid w:val="00E30C80"/>
    <w:rsid w:val="00E32FDE"/>
    <w:rsid w:val="00E3677A"/>
    <w:rsid w:val="00E52623"/>
    <w:rsid w:val="00E61D7C"/>
    <w:rsid w:val="00E935C3"/>
    <w:rsid w:val="00E95538"/>
    <w:rsid w:val="00E962F9"/>
    <w:rsid w:val="00EA5B7E"/>
    <w:rsid w:val="00EB65E9"/>
    <w:rsid w:val="00EC31A9"/>
    <w:rsid w:val="00EC451F"/>
    <w:rsid w:val="00EC7276"/>
    <w:rsid w:val="00ED09AF"/>
    <w:rsid w:val="00F06187"/>
    <w:rsid w:val="00F36714"/>
    <w:rsid w:val="00F53273"/>
    <w:rsid w:val="00F67121"/>
    <w:rsid w:val="00F81B03"/>
    <w:rsid w:val="00FA50E8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C2F8492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0F5CC3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9959-954B-4EF3-9A50-3817FE54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0</TotalTime>
  <Pages>1</Pages>
  <Words>336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2325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Andrea Pietras</cp:lastModifiedBy>
  <cp:revision>3</cp:revision>
  <cp:lastPrinted>2008-09-11T18:31:00Z</cp:lastPrinted>
  <dcterms:created xsi:type="dcterms:W3CDTF">2020-06-28T19:58:00Z</dcterms:created>
  <dcterms:modified xsi:type="dcterms:W3CDTF">2020-07-22T15:20:00Z</dcterms:modified>
</cp:coreProperties>
</file>