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A" w:rsidRDefault="005E245A" w:rsidP="00B42511">
      <w:bookmarkStart w:id="0" w:name="_GoBack"/>
      <w:bookmarkEnd w:id="0"/>
    </w:p>
    <w:p w:rsidR="00624C03" w:rsidRDefault="00624C03" w:rsidP="00B42511">
      <w:r>
        <w:tab/>
      </w:r>
    </w:p>
    <w:p w:rsidR="00DF155D" w:rsidRPr="005B5D79" w:rsidRDefault="0014761B" w:rsidP="0014761B">
      <w:pPr>
        <w:numPr>
          <w:ilvl w:val="0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 xml:space="preserve">A product being transferred from one facility to another will be categorized as </w:t>
      </w:r>
      <w:r w:rsidRPr="000E45E8">
        <w:rPr>
          <w:color w:val="FF0000"/>
          <w:sz w:val="24"/>
          <w:szCs w:val="24"/>
        </w:rPr>
        <w:t>“</w:t>
      </w:r>
      <w:r w:rsidR="000E45E8" w:rsidRPr="000E45E8">
        <w:rPr>
          <w:color w:val="FF0000"/>
          <w:sz w:val="24"/>
          <w:szCs w:val="24"/>
        </w:rPr>
        <w:t>minor</w:t>
      </w:r>
      <w:r w:rsidRPr="000E45E8">
        <w:rPr>
          <w:color w:val="FF0000"/>
          <w:sz w:val="24"/>
          <w:szCs w:val="24"/>
        </w:rPr>
        <w:t xml:space="preserve">” </w:t>
      </w:r>
      <w:r w:rsidRPr="005B5D79">
        <w:rPr>
          <w:sz w:val="24"/>
          <w:szCs w:val="24"/>
        </w:rPr>
        <w:t>if it meets any of the following criteria:</w:t>
      </w:r>
    </w:p>
    <w:p w:rsidR="0014761B" w:rsidRPr="005B5D79" w:rsidRDefault="0014761B" w:rsidP="0014761B">
      <w:pPr>
        <w:numPr>
          <w:ilvl w:val="1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Product is a configured cable with a standard connector.</w:t>
      </w:r>
    </w:p>
    <w:p w:rsidR="0014761B" w:rsidRPr="005B5D79" w:rsidRDefault="0014761B" w:rsidP="0014761B">
      <w:pPr>
        <w:numPr>
          <w:ilvl w:val="1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Product is a configured model where a parent currently exists and is being built in the “Transfer to” site.</w:t>
      </w:r>
    </w:p>
    <w:p w:rsidR="0014761B" w:rsidRDefault="0014761B" w:rsidP="0014761B">
      <w:pPr>
        <w:numPr>
          <w:ilvl w:val="1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Product is considered to be similar</w:t>
      </w:r>
      <w:r w:rsidRPr="00972983">
        <w:rPr>
          <w:sz w:val="24"/>
          <w:szCs w:val="24"/>
        </w:rPr>
        <w:t xml:space="preserve"> </w:t>
      </w:r>
      <w:r w:rsidRPr="005B5D79">
        <w:rPr>
          <w:sz w:val="24"/>
          <w:szCs w:val="24"/>
        </w:rPr>
        <w:t>to an existing model currently being built that the product can be transferred with minimal controls.</w:t>
      </w:r>
    </w:p>
    <w:p w:rsidR="00BA6233" w:rsidRPr="005B5D79" w:rsidRDefault="00BA6233" w:rsidP="00BA6233">
      <w:pPr>
        <w:numPr>
          <w:ilvl w:val="1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The Planning functions will take the necessary actions for the transfer including:</w:t>
      </w:r>
    </w:p>
    <w:p w:rsidR="00BA6233" w:rsidRPr="005B5D79" w:rsidRDefault="00BA6233" w:rsidP="00BA6233">
      <w:pPr>
        <w:numPr>
          <w:ilvl w:val="2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Setting up inventory and/or Kanban locations in Syteline</w:t>
      </w:r>
    </w:p>
    <w:p w:rsidR="00BA6233" w:rsidRPr="005B5D79" w:rsidRDefault="00BA6233" w:rsidP="00BA6233">
      <w:pPr>
        <w:numPr>
          <w:ilvl w:val="2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Modifying all relevant Item Master planning fields in both sites.</w:t>
      </w:r>
    </w:p>
    <w:p w:rsidR="00BA6233" w:rsidRPr="005B5D79" w:rsidRDefault="00BA6233" w:rsidP="00BA6233">
      <w:pPr>
        <w:numPr>
          <w:ilvl w:val="2"/>
          <w:numId w:val="5"/>
        </w:numPr>
        <w:rPr>
          <w:sz w:val="24"/>
          <w:szCs w:val="24"/>
        </w:rPr>
      </w:pPr>
      <w:r w:rsidRPr="005B5D79">
        <w:rPr>
          <w:sz w:val="24"/>
          <w:szCs w:val="24"/>
        </w:rPr>
        <w:t>Establishing a plan for filling open customer orders</w:t>
      </w:r>
    </w:p>
    <w:p w:rsidR="00BA6233" w:rsidRDefault="00BA6233" w:rsidP="00BA6233">
      <w:pPr>
        <w:ind w:left="1440"/>
        <w:rPr>
          <w:sz w:val="24"/>
          <w:szCs w:val="24"/>
        </w:rPr>
      </w:pPr>
    </w:p>
    <w:p w:rsidR="00624C03" w:rsidRPr="003827B7" w:rsidRDefault="00624C03" w:rsidP="00624C03">
      <w:pPr>
        <w:ind w:left="1440"/>
        <w:rPr>
          <w:dstrike/>
          <w:color w:val="FF0000"/>
          <w:sz w:val="24"/>
          <w:szCs w:val="24"/>
        </w:rPr>
      </w:pPr>
    </w:p>
    <w:p w:rsidR="00624C03" w:rsidRPr="003827B7" w:rsidRDefault="00624C03" w:rsidP="00624C03">
      <w:pPr>
        <w:ind w:left="1440"/>
        <w:rPr>
          <w:dstrike/>
          <w:color w:val="FF0000"/>
          <w:sz w:val="24"/>
          <w:szCs w:val="24"/>
        </w:rPr>
      </w:pPr>
    </w:p>
    <w:sectPr w:rsidR="00624C03" w:rsidRPr="003827B7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95" w:rsidRDefault="00215895">
      <w:r>
        <w:separator/>
      </w:r>
    </w:p>
  </w:endnote>
  <w:endnote w:type="continuationSeparator" w:id="0">
    <w:p w:rsidR="00215895" w:rsidRDefault="0021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F521BF" w:rsidRPr="004E2161" w:rsidTr="004E2161">
      <w:tc>
        <w:tcPr>
          <w:tcW w:w="3672" w:type="dxa"/>
          <w:shd w:val="clear" w:color="auto" w:fill="auto"/>
          <w:vAlign w:val="center"/>
        </w:tcPr>
        <w:p w:rsidR="00F521BF" w:rsidRPr="004E2161" w:rsidRDefault="00F521BF" w:rsidP="004E216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521BF" w:rsidRPr="004E2161" w:rsidRDefault="00F521BF" w:rsidP="004E216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161">
            <w:rPr>
              <w:rFonts w:ascii="Arial" w:hAnsi="Arial" w:cs="Arial"/>
              <w:sz w:val="16"/>
              <w:szCs w:val="16"/>
            </w:rPr>
            <w:t>User Guide:  Simple Transfer Process</w:t>
          </w:r>
        </w:p>
      </w:tc>
      <w:tc>
        <w:tcPr>
          <w:tcW w:w="1188" w:type="dxa"/>
          <w:shd w:val="clear" w:color="auto" w:fill="auto"/>
          <w:vAlign w:val="center"/>
        </w:tcPr>
        <w:p w:rsidR="00F521BF" w:rsidRPr="004E2161" w:rsidRDefault="00F521BF" w:rsidP="004E216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161">
            <w:rPr>
              <w:rFonts w:ascii="Arial" w:hAnsi="Arial" w:cs="Arial"/>
              <w:sz w:val="16"/>
              <w:szCs w:val="16"/>
            </w:rPr>
            <w:t>TA1246</w:t>
          </w:r>
        </w:p>
      </w:tc>
    </w:tr>
    <w:tr w:rsidR="00F521BF" w:rsidRPr="004E2161" w:rsidTr="004E2161">
      <w:tc>
        <w:tcPr>
          <w:tcW w:w="3672" w:type="dxa"/>
          <w:shd w:val="clear" w:color="auto" w:fill="auto"/>
          <w:vAlign w:val="center"/>
        </w:tcPr>
        <w:p w:rsidR="00F521BF" w:rsidRPr="004E2161" w:rsidRDefault="00F521BF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521BF" w:rsidRPr="004E2161" w:rsidRDefault="00F521BF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E2161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8671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8671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1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F521BF" w:rsidRPr="00A14175" w:rsidRDefault="00F521BF" w:rsidP="00A14175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4E2161">
            <w:rPr>
              <w:rFonts w:ascii="Arial" w:hAnsi="Arial" w:cs="Arial"/>
              <w:sz w:val="16"/>
              <w:szCs w:val="16"/>
            </w:rPr>
            <w:t xml:space="preserve">REV </w:t>
          </w:r>
          <w:r w:rsidR="00A14175" w:rsidRPr="00A14175">
            <w:rPr>
              <w:rFonts w:ascii="Arial" w:hAnsi="Arial" w:cs="Arial"/>
              <w:color w:val="FF0000"/>
              <w:sz w:val="16"/>
              <w:szCs w:val="16"/>
            </w:rPr>
            <w:t>B</w:t>
          </w:r>
        </w:p>
      </w:tc>
    </w:tr>
  </w:tbl>
  <w:p w:rsidR="00F521BF" w:rsidRPr="00895072" w:rsidRDefault="00F521BF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F521BF" w:rsidRPr="006B663F" w:rsidRDefault="00F521BF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95" w:rsidRDefault="00215895">
      <w:r>
        <w:separator/>
      </w:r>
    </w:p>
  </w:footnote>
  <w:footnote w:type="continuationSeparator" w:id="0">
    <w:p w:rsidR="00215895" w:rsidRDefault="0021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BF" w:rsidRDefault="00F521BF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29744AEB" wp14:editId="6D6AD623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6A5E278" wp14:editId="14EDE2B3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1BF" w:rsidRDefault="00F521BF" w:rsidP="00895072">
    <w:pPr>
      <w:rPr>
        <w:rFonts w:ascii="Arial" w:hAnsi="Arial"/>
        <w:sz w:val="28"/>
      </w:rPr>
    </w:pPr>
  </w:p>
  <w:p w:rsidR="00F521BF" w:rsidRDefault="00F521BF" w:rsidP="006C2FD8">
    <w:pPr>
      <w:jc w:val="center"/>
      <w:rPr>
        <w:rFonts w:ascii="Arial" w:hAnsi="Arial"/>
        <w:sz w:val="28"/>
      </w:rPr>
    </w:pPr>
  </w:p>
  <w:p w:rsidR="00F521BF" w:rsidRDefault="00F521BF" w:rsidP="006C2FD8">
    <w:pPr>
      <w:jc w:val="center"/>
      <w:rPr>
        <w:rFonts w:ascii="Arial" w:hAnsi="Arial"/>
        <w:sz w:val="28"/>
      </w:rPr>
    </w:pPr>
  </w:p>
  <w:p w:rsidR="00F521BF" w:rsidRPr="00FA50E8" w:rsidRDefault="00F521BF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>
      <w:rPr>
        <w:rFonts w:ascii="Arial" w:hAnsi="Arial"/>
        <w:sz w:val="28"/>
      </w:rPr>
      <w:t>Transferring Product between Facilities</w:t>
    </w:r>
  </w:p>
  <w:p w:rsidR="00F521BF" w:rsidRDefault="00F52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E0"/>
    <w:multiLevelType w:val="hybridMultilevel"/>
    <w:tmpl w:val="571052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F0FF8"/>
    <w:multiLevelType w:val="hybridMultilevel"/>
    <w:tmpl w:val="D7EC1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96B50"/>
    <w:rsid w:val="000B48F6"/>
    <w:rsid w:val="000E3BBF"/>
    <w:rsid w:val="000E45E8"/>
    <w:rsid w:val="0012134B"/>
    <w:rsid w:val="00137A2D"/>
    <w:rsid w:val="0014761B"/>
    <w:rsid w:val="00186F41"/>
    <w:rsid w:val="00187900"/>
    <w:rsid w:val="001B51A8"/>
    <w:rsid w:val="001D699F"/>
    <w:rsid w:val="001F0696"/>
    <w:rsid w:val="0020547D"/>
    <w:rsid w:val="00215895"/>
    <w:rsid w:val="0022518E"/>
    <w:rsid w:val="002E13DD"/>
    <w:rsid w:val="0030710F"/>
    <w:rsid w:val="00311C66"/>
    <w:rsid w:val="00330870"/>
    <w:rsid w:val="00336957"/>
    <w:rsid w:val="00367B08"/>
    <w:rsid w:val="003827B7"/>
    <w:rsid w:val="003C086E"/>
    <w:rsid w:val="004313F1"/>
    <w:rsid w:val="00481844"/>
    <w:rsid w:val="00486714"/>
    <w:rsid w:val="004A1E07"/>
    <w:rsid w:val="004D350D"/>
    <w:rsid w:val="004E2161"/>
    <w:rsid w:val="005651D4"/>
    <w:rsid w:val="00591DA1"/>
    <w:rsid w:val="005B5D79"/>
    <w:rsid w:val="005B6DF3"/>
    <w:rsid w:val="005E245A"/>
    <w:rsid w:val="00624C03"/>
    <w:rsid w:val="00631461"/>
    <w:rsid w:val="006355CF"/>
    <w:rsid w:val="006435C0"/>
    <w:rsid w:val="00654643"/>
    <w:rsid w:val="006B663F"/>
    <w:rsid w:val="006C2FD8"/>
    <w:rsid w:val="006C43AC"/>
    <w:rsid w:val="006C4F35"/>
    <w:rsid w:val="006D29DB"/>
    <w:rsid w:val="00732F38"/>
    <w:rsid w:val="007B5201"/>
    <w:rsid w:val="007D2CD2"/>
    <w:rsid w:val="00895072"/>
    <w:rsid w:val="008A0677"/>
    <w:rsid w:val="00900D64"/>
    <w:rsid w:val="00915BDB"/>
    <w:rsid w:val="00972983"/>
    <w:rsid w:val="009B56AA"/>
    <w:rsid w:val="009C7C6B"/>
    <w:rsid w:val="00A10D7D"/>
    <w:rsid w:val="00A14175"/>
    <w:rsid w:val="00A25E93"/>
    <w:rsid w:val="00A359A5"/>
    <w:rsid w:val="00A46EF4"/>
    <w:rsid w:val="00A6329F"/>
    <w:rsid w:val="00A80C75"/>
    <w:rsid w:val="00B059E4"/>
    <w:rsid w:val="00B25F4D"/>
    <w:rsid w:val="00B42511"/>
    <w:rsid w:val="00BA6233"/>
    <w:rsid w:val="00BB4667"/>
    <w:rsid w:val="00BF0CC6"/>
    <w:rsid w:val="00C348DA"/>
    <w:rsid w:val="00C440F0"/>
    <w:rsid w:val="00C53EA6"/>
    <w:rsid w:val="00CA0DC1"/>
    <w:rsid w:val="00CA4AE1"/>
    <w:rsid w:val="00CD2070"/>
    <w:rsid w:val="00D21B44"/>
    <w:rsid w:val="00DB0156"/>
    <w:rsid w:val="00DD3E12"/>
    <w:rsid w:val="00DD6484"/>
    <w:rsid w:val="00DF155D"/>
    <w:rsid w:val="00E22E50"/>
    <w:rsid w:val="00E3677A"/>
    <w:rsid w:val="00E52623"/>
    <w:rsid w:val="00E9054B"/>
    <w:rsid w:val="00E935C3"/>
    <w:rsid w:val="00EA5B7E"/>
    <w:rsid w:val="00EB65E9"/>
    <w:rsid w:val="00EE14DB"/>
    <w:rsid w:val="00F35F41"/>
    <w:rsid w:val="00F521BF"/>
    <w:rsid w:val="00F53273"/>
    <w:rsid w:val="00F57D41"/>
    <w:rsid w:val="00FA50E8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5">
    <w:name w:val="heading 5"/>
    <w:basedOn w:val="Normal"/>
    <w:next w:val="Normal"/>
    <w:qFormat/>
    <w:rsid w:val="0012134B"/>
    <w:pPr>
      <w:keepNext/>
      <w:tabs>
        <w:tab w:val="left" w:pos="360"/>
      </w:tabs>
      <w:jc w:val="both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5">
    <w:name w:val="heading 5"/>
    <w:basedOn w:val="Normal"/>
    <w:next w:val="Normal"/>
    <w:qFormat/>
    <w:rsid w:val="0012134B"/>
    <w:pPr>
      <w:keepNext/>
      <w:tabs>
        <w:tab w:val="left" w:pos="360"/>
      </w:tabs>
      <w:jc w:val="both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3</TotalTime>
  <Pages>1</Pages>
  <Words>118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698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Mark Wollenberg</cp:lastModifiedBy>
  <cp:revision>5</cp:revision>
  <cp:lastPrinted>2016-06-15T12:02:00Z</cp:lastPrinted>
  <dcterms:created xsi:type="dcterms:W3CDTF">2016-06-14T15:02:00Z</dcterms:created>
  <dcterms:modified xsi:type="dcterms:W3CDTF">2016-06-15T12:02:00Z</dcterms:modified>
</cp:coreProperties>
</file>