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732" w:rsidRPr="00665F00" w:rsidRDefault="004E4732" w:rsidP="004E4732">
      <w:pPr>
        <w:pStyle w:val="Heading1"/>
      </w:pPr>
      <w:bookmarkStart w:id="0" w:name="_Toc400552422"/>
      <w:r w:rsidRPr="00665F00">
        <w:t>Handling</w:t>
      </w:r>
      <w:bookmarkEnd w:id="0"/>
    </w:p>
    <w:p w:rsidR="004E4732" w:rsidRPr="00665F00" w:rsidRDefault="004E4732" w:rsidP="0050551F">
      <w:pPr>
        <w:pStyle w:val="Heading3"/>
      </w:pPr>
      <w:r w:rsidRPr="00665F00">
        <w:t xml:space="preserve">All storage containers should be inspected per QA1008 Control </w:t>
      </w:r>
      <w:proofErr w:type="gramStart"/>
      <w:r w:rsidRPr="00665F00">
        <w:t>Of</w:t>
      </w:r>
      <w:proofErr w:type="gramEnd"/>
      <w:r w:rsidRPr="00665F00">
        <w:t xml:space="preserve"> Electrostatic Discharge (ESD) Procedure to use to ensure proper ESD protection.</w:t>
      </w:r>
    </w:p>
    <w:p w:rsidR="004E4732" w:rsidRPr="00665F00" w:rsidRDefault="004E4732" w:rsidP="0050551F">
      <w:pPr>
        <w:pStyle w:val="Heading3"/>
      </w:pPr>
      <w:r w:rsidRPr="00665F00">
        <w:t>All containers should be clean and free of debris prior to use to mitigate the introduction of foreign object debris during the assembly process</w:t>
      </w:r>
    </w:p>
    <w:p w:rsidR="004E4732" w:rsidRPr="00665F00" w:rsidRDefault="004E4732" w:rsidP="0050551F">
      <w:pPr>
        <w:pStyle w:val="Heading4"/>
      </w:pPr>
      <w:r w:rsidRPr="00665F00">
        <w:t>All ESD amp cases must be cleaned and dried before re-using.</w:t>
      </w:r>
    </w:p>
    <w:p w:rsidR="004E4732" w:rsidRPr="00665F00" w:rsidRDefault="004E4732" w:rsidP="0050551F">
      <w:pPr>
        <w:pStyle w:val="Heading4"/>
      </w:pPr>
      <w:r w:rsidRPr="00665F00">
        <w:t>All gel packs (e.g. used for crystals) must be cleaned with scotch tape to remove dust and lint from gel surface.</w:t>
      </w:r>
    </w:p>
    <w:p w:rsidR="004E4732" w:rsidRPr="00665F00" w:rsidRDefault="004E4732" w:rsidP="0050551F">
      <w:pPr>
        <w:pStyle w:val="Heading3"/>
      </w:pPr>
      <w:r w:rsidRPr="00665F00">
        <w:t xml:space="preserve">Machined parts </w:t>
      </w:r>
      <w:r w:rsidR="008308DE" w:rsidRPr="00665F00">
        <w:t xml:space="preserve">should be </w:t>
      </w:r>
      <w:r w:rsidRPr="00665F00">
        <w:t>transported in bin boxes, compartmented plastic containers or other applicable storage containers designed to mitigate damage to the product unless special handling requirements are called out on the router or purchase order.</w:t>
      </w:r>
    </w:p>
    <w:p w:rsidR="004E4732" w:rsidRPr="00665F00" w:rsidRDefault="004E4732" w:rsidP="0050551F">
      <w:pPr>
        <w:pStyle w:val="Heading3"/>
      </w:pPr>
      <w:r w:rsidRPr="00665F00">
        <w:t xml:space="preserve">Parts cleaned per </w:t>
      </w:r>
      <w:r w:rsidRPr="00665F00">
        <w:rPr>
          <w:b/>
        </w:rPr>
        <w:t>TA1051</w:t>
      </w:r>
      <w:r w:rsidRPr="00665F00">
        <w:t xml:space="preserve"> or </w:t>
      </w:r>
      <w:r w:rsidRPr="00665F00">
        <w:rPr>
          <w:b/>
        </w:rPr>
        <w:t>TA1061</w:t>
      </w:r>
      <w:r w:rsidRPr="00665F00">
        <w:t xml:space="preserve"> prior to welding shall be loaded into covered ESD boxes by the assembly technicians. Parts too large for standard ESD boxes shall have critical welding surfaces protected by appropriate means.  There is no requirement for the maximum amount of time allowed between the cleaning process and the welding process.</w:t>
      </w:r>
    </w:p>
    <w:p w:rsidR="004E4732" w:rsidRPr="00665F00" w:rsidRDefault="004E4732" w:rsidP="0050551F">
      <w:pPr>
        <w:pStyle w:val="Heading3"/>
      </w:pPr>
      <w:r w:rsidRPr="00665F00">
        <w:t xml:space="preserve">Appropriate tweezers or finger cots are required for handling quartz or ceramic crystals so that the product is not handled by bare hands (oil residue can cause part contamination).  </w:t>
      </w:r>
    </w:p>
    <w:p w:rsidR="004E4732" w:rsidRPr="00665F00" w:rsidRDefault="004E4732" w:rsidP="0050551F">
      <w:pPr>
        <w:pStyle w:val="Heading3"/>
      </w:pPr>
      <w:r w:rsidRPr="00665F00">
        <w:t>NOTE: All finger cots must be ESD safe.</w:t>
      </w:r>
    </w:p>
    <w:p w:rsidR="004E4732" w:rsidRPr="00665F00" w:rsidRDefault="004E4732" w:rsidP="0050551F">
      <w:pPr>
        <w:pStyle w:val="Heading3"/>
      </w:pPr>
      <w:r w:rsidRPr="00665F00">
        <w:t xml:space="preserve">Microelectronics parts/amplifiers must follow </w:t>
      </w:r>
      <w:r w:rsidRPr="00665F00">
        <w:rPr>
          <w:b/>
        </w:rPr>
        <w:t xml:space="preserve">QA1008 Control </w:t>
      </w:r>
      <w:proofErr w:type="gramStart"/>
      <w:r w:rsidRPr="00665F00">
        <w:rPr>
          <w:b/>
        </w:rPr>
        <w:t>Of</w:t>
      </w:r>
      <w:proofErr w:type="gramEnd"/>
      <w:r w:rsidRPr="00665F00">
        <w:rPr>
          <w:b/>
        </w:rPr>
        <w:t xml:space="preserve"> Electrostatic Discharge (ESD) Procedure</w:t>
      </w:r>
      <w:r w:rsidRPr="00665F00">
        <w:t>.  All parts/amplifiers must be protected from physical damage, as well as ESD, when applied to production jobs.</w:t>
      </w:r>
    </w:p>
    <w:p w:rsidR="004E4732" w:rsidRPr="00665F00" w:rsidRDefault="004E4732" w:rsidP="0050551F">
      <w:pPr>
        <w:pStyle w:val="Heading3"/>
      </w:pPr>
      <w:r w:rsidRPr="00665F00">
        <w:t xml:space="preserve">Lapped and Hydrogen Fired parts should be handled with tweezers or finger cots to preserve proper surface finish and to prevent part contamination </w:t>
      </w:r>
    </w:p>
    <w:p w:rsidR="004E4732" w:rsidRPr="00665F00" w:rsidRDefault="004E4732" w:rsidP="0050551F">
      <w:pPr>
        <w:pStyle w:val="Heading3"/>
      </w:pPr>
      <w:r w:rsidRPr="00665F00">
        <w:t>Components that do not require special handling should be stored in and transported in bins, totes or protective wrapping to mitigate damage to the product.</w:t>
      </w:r>
    </w:p>
    <w:p w:rsidR="004E4732" w:rsidRPr="00665F00" w:rsidRDefault="004E4732" w:rsidP="0050551F">
      <w:pPr>
        <w:pStyle w:val="Heading3"/>
      </w:pPr>
      <w:r w:rsidRPr="00665F00">
        <w:t>Hard coated parts should be stored in foam trays or other applicable foam packaging.</w:t>
      </w:r>
    </w:p>
    <w:p w:rsidR="004E4732" w:rsidRDefault="004E4732" w:rsidP="0050551F">
      <w:pPr>
        <w:pStyle w:val="Heading3"/>
      </w:pPr>
      <w:r w:rsidRPr="00665F00">
        <w:t xml:space="preserve">Parts being sent to a vendor, such as Hydrogen fired, Hard coated, Anodized, </w:t>
      </w:r>
      <w:proofErr w:type="spellStart"/>
      <w:r w:rsidRPr="00665F00">
        <w:t>Rokided</w:t>
      </w:r>
      <w:proofErr w:type="spellEnd"/>
      <w:r w:rsidRPr="00665F00">
        <w:t xml:space="preserve"> and Flame Sprayed Parts </w:t>
      </w:r>
      <w:proofErr w:type="gramStart"/>
      <w:r w:rsidRPr="00665F00">
        <w:t>can  should</w:t>
      </w:r>
      <w:proofErr w:type="gramEnd"/>
      <w:r w:rsidRPr="00665F00">
        <w:t xml:space="preserve"> be packed in foam and or applicable containers for transport.</w:t>
      </w:r>
    </w:p>
    <w:p w:rsidR="005B0859" w:rsidRPr="00665F00" w:rsidRDefault="005B0859" w:rsidP="0050551F">
      <w:pPr>
        <w:pStyle w:val="Heading3"/>
      </w:pPr>
      <w:r>
        <w:rPr>
          <w:color w:val="FF0000"/>
        </w:rPr>
        <w:t>Any product components or sub-assemblies removed from a storage location with the PCB item number identified must remain under control of the same person until assembled to the product or returned to packaging or storage that clearly indicates the PCB item number.</w:t>
      </w:r>
    </w:p>
    <w:p w:rsidR="004E4732" w:rsidRPr="00665F00" w:rsidRDefault="004E4732" w:rsidP="00EB2DC6">
      <w:pPr>
        <w:pStyle w:val="Heading1"/>
      </w:pPr>
      <w:bookmarkStart w:id="1" w:name="_Toc400552424"/>
      <w:r w:rsidRPr="00665F00">
        <w:t>Storage</w:t>
      </w:r>
      <w:bookmarkEnd w:id="1"/>
    </w:p>
    <w:p w:rsidR="005B0859" w:rsidRPr="005B0859" w:rsidRDefault="005B0859" w:rsidP="0050551F">
      <w:pPr>
        <w:pStyle w:val="Heading3"/>
        <w:rPr>
          <w:color w:val="FF0000"/>
        </w:rPr>
      </w:pPr>
      <w:r w:rsidRPr="005B0859">
        <w:rPr>
          <w:color w:val="FF0000"/>
        </w:rPr>
        <w:t>All inventory, including point of use inventory that will become part of the product (including packaging and accessories), must be stored in packaging, containers or shelving that clearly indicate the PCB item number.</w:t>
      </w:r>
    </w:p>
    <w:p w:rsidR="004E4732" w:rsidRPr="00665F00" w:rsidRDefault="004E4732" w:rsidP="0050551F">
      <w:pPr>
        <w:pStyle w:val="Heading3"/>
      </w:pPr>
      <w:r w:rsidRPr="00665F00">
        <w:t>Inventory shelf storage</w:t>
      </w:r>
      <w:r w:rsidR="00974099" w:rsidRPr="00665F00">
        <w:t xml:space="preserve"> </w:t>
      </w:r>
      <w:r w:rsidR="008308DE" w:rsidRPr="00665F00">
        <w:t>should be</w:t>
      </w:r>
      <w:r w:rsidRPr="00665F00">
        <w:t xml:space="preserve"> used for Machined, Purchased and sub-assemblies unless humidity and temperature controls are needed.  See EN027 Nitrogen Storage List for those items that require humidity controlled storage.</w:t>
      </w:r>
    </w:p>
    <w:p w:rsidR="004E4732" w:rsidRPr="00665F00" w:rsidRDefault="004E4732" w:rsidP="0050551F">
      <w:pPr>
        <w:pStyle w:val="Heading3"/>
        <w:rPr>
          <w:b/>
        </w:rPr>
      </w:pPr>
      <w:r w:rsidRPr="00665F00">
        <w:t>Sub-assemblies and parts that are susceptible to humidity are to be stored in one the following:</w:t>
      </w:r>
    </w:p>
    <w:p w:rsidR="004E4732" w:rsidRPr="00665F00" w:rsidRDefault="004E4732" w:rsidP="0050551F">
      <w:pPr>
        <w:pStyle w:val="Heading4"/>
      </w:pPr>
      <w:r w:rsidRPr="00665F00">
        <w:rPr>
          <w:u w:val="single"/>
        </w:rPr>
        <w:t>Store in Nitro</w:t>
      </w:r>
      <w:r w:rsidRPr="00665F00">
        <w:t>: If component needs to be stored in Nitrogen to prevent oxidation and to prevent moisture absorption. (See EN027 for items that are stored in Nitrogen.) If only moisture absorption is a concern, the “store in desiccant” flag should be checked as stated in EN1006.</w:t>
      </w:r>
    </w:p>
    <w:p w:rsidR="004E4732" w:rsidRPr="00665F00" w:rsidRDefault="004E4732" w:rsidP="0050551F">
      <w:pPr>
        <w:pStyle w:val="Heading4"/>
      </w:pPr>
      <w:r w:rsidRPr="00665F00">
        <w:rPr>
          <w:u w:val="single"/>
        </w:rPr>
        <w:t>Store in Desiccant</w:t>
      </w:r>
      <w:r w:rsidRPr="00665F00">
        <w:t>: If component needs to be stored in dry conditions to prevent moisture absorption from ambient humidity. Items with this flag may be stored in desiccant or Nitrogen.</w:t>
      </w:r>
    </w:p>
    <w:p w:rsidR="004E4732" w:rsidRPr="00665F00" w:rsidRDefault="004E4732" w:rsidP="0050551F">
      <w:pPr>
        <w:pStyle w:val="Heading3"/>
        <w:rPr>
          <w:b/>
        </w:rPr>
      </w:pPr>
      <w:r w:rsidRPr="00665F00">
        <w:t>In process assemblies with epoxy curing or parts and assemblies that are susceptible to humidity are stored in ovens.</w:t>
      </w:r>
    </w:p>
    <w:p w:rsidR="00B82A67" w:rsidRPr="00665F00" w:rsidRDefault="0008773B" w:rsidP="00EB2DC6">
      <w:pPr>
        <w:pStyle w:val="Heading1"/>
      </w:pPr>
      <w:bookmarkStart w:id="2" w:name="_Toc400552426"/>
      <w:r w:rsidRPr="00665F00">
        <w:t>Inventory</w:t>
      </w:r>
      <w:bookmarkEnd w:id="2"/>
    </w:p>
    <w:p w:rsidR="004E4732" w:rsidRPr="00665F00" w:rsidRDefault="004E4732" w:rsidP="0050551F">
      <w:pPr>
        <w:pStyle w:val="Heading3"/>
      </w:pPr>
      <w:r w:rsidRPr="00665F00">
        <w:t xml:space="preserve">PCB maintains a First </w:t>
      </w:r>
      <w:proofErr w:type="gramStart"/>
      <w:r w:rsidRPr="00665F00">
        <w:t>In First Out</w:t>
      </w:r>
      <w:proofErr w:type="gramEnd"/>
      <w:r w:rsidRPr="00665F00">
        <w:t xml:space="preserve"> (FIFO) inventory maintenance</w:t>
      </w:r>
      <w:r w:rsidRPr="00665F00">
        <w:rPr>
          <w:strike/>
        </w:rPr>
        <w:t>.</w:t>
      </w:r>
    </w:p>
    <w:p w:rsidR="004E4732" w:rsidRPr="00665F00" w:rsidRDefault="004E4732" w:rsidP="0050551F">
      <w:pPr>
        <w:pStyle w:val="Heading3"/>
      </w:pPr>
      <w:r w:rsidRPr="00665F00">
        <w:t xml:space="preserve">Product </w:t>
      </w:r>
      <w:r w:rsidR="00E95020" w:rsidRPr="00665F00">
        <w:t>can</w:t>
      </w:r>
      <w:r w:rsidR="008308DE" w:rsidRPr="00665F00">
        <w:t xml:space="preserve"> be </w:t>
      </w:r>
      <w:r w:rsidRPr="00665F00">
        <w:t>assessed and visually inspected for damage or deterioration during cycle counting.  Damaged or deteriorated products are handled per TA01 Nonconforming Material Control – Manufacturing Center.</w:t>
      </w:r>
    </w:p>
    <w:p w:rsidR="004E4732" w:rsidRPr="00665F00" w:rsidRDefault="004E4732" w:rsidP="0050551F">
      <w:pPr>
        <w:pStyle w:val="Heading3"/>
      </w:pPr>
      <w:r w:rsidRPr="00665F00">
        <w:t xml:space="preserve">All Product (raw materials, </w:t>
      </w:r>
      <w:proofErr w:type="spellStart"/>
      <w:r w:rsidRPr="00665F00">
        <w:t>sub assemblies</w:t>
      </w:r>
      <w:proofErr w:type="spellEnd"/>
      <w:r w:rsidRPr="00665F00">
        <w:t xml:space="preserve">, in-process and or finished goods) </w:t>
      </w:r>
      <w:r w:rsidR="008308DE" w:rsidRPr="00665F00">
        <w:t xml:space="preserve">shall </w:t>
      </w:r>
      <w:r w:rsidRPr="00665F00">
        <w:t>be dispatched and received into applicable storage areas by Inventory Control and Production Planning.</w:t>
      </w:r>
      <w:r w:rsidR="00705C64">
        <w:t xml:space="preserve">  </w:t>
      </w:r>
      <w:r w:rsidR="00705C64" w:rsidRPr="00705C64">
        <w:rPr>
          <w:color w:val="FF0000"/>
        </w:rPr>
        <w:t>The product, component or subassembly must be clearly marked with the proper PCB item number.</w:t>
      </w:r>
    </w:p>
    <w:p w:rsidR="004E4732" w:rsidRPr="00665F00" w:rsidRDefault="004E4732" w:rsidP="0050551F">
      <w:pPr>
        <w:pStyle w:val="Heading3"/>
      </w:pPr>
      <w:r w:rsidRPr="00665F00">
        <w:t xml:space="preserve">If additional parts are needed due to scrap or re-work, Engineering and Production personnel should fill out Parts Request Tag and have Inventory Coordinator issue those parts.  </w:t>
      </w:r>
    </w:p>
    <w:p w:rsidR="004E4732" w:rsidRPr="00665F00" w:rsidRDefault="004E4732" w:rsidP="0050551F">
      <w:pPr>
        <w:pStyle w:val="Heading3"/>
      </w:pPr>
      <w:r w:rsidRPr="00665F00">
        <w:t xml:space="preserve">Short term part need for ENG or Production personnel which will be returned to inventory, can use the clipboard hanging in the inventory storage area to sign out a part. This is typically used when a part is being measured, shown, or for design input by </w:t>
      </w:r>
      <w:proofErr w:type="spellStart"/>
      <w:r w:rsidRPr="00665F00">
        <w:t>Eng</w:t>
      </w:r>
      <w:proofErr w:type="spellEnd"/>
      <w:r w:rsidRPr="00665F00">
        <w:t xml:space="preserve"> or Production Personnel. </w:t>
      </w:r>
      <w:r w:rsidR="008308DE" w:rsidRPr="00665F00">
        <w:t xml:space="preserve">   </w:t>
      </w:r>
      <w:r w:rsidRPr="00665F00">
        <w:t>The clipboard should not be used for long term</w:t>
      </w:r>
      <w:r w:rsidR="00974099" w:rsidRPr="00665F00">
        <w:t xml:space="preserve"> </w:t>
      </w:r>
      <w:r w:rsidRPr="00665F00">
        <w:t xml:space="preserve">need. </w:t>
      </w:r>
      <w:r w:rsidR="00974099" w:rsidRPr="00665F00">
        <w:t xml:space="preserve"> </w:t>
      </w:r>
      <w:r w:rsidRPr="00665F00">
        <w:t>In that event the ENG or Production personnel should complete the parts request tag. This applies to 2</w:t>
      </w:r>
      <w:r w:rsidRPr="00665F00">
        <w:rPr>
          <w:vertAlign w:val="superscript"/>
        </w:rPr>
        <w:t>nd</w:t>
      </w:r>
      <w:r w:rsidRPr="00665F00">
        <w:t xml:space="preserve"> and 3</w:t>
      </w:r>
      <w:r w:rsidRPr="00665F00">
        <w:rPr>
          <w:vertAlign w:val="superscript"/>
        </w:rPr>
        <w:t>rd</w:t>
      </w:r>
      <w:r w:rsidRPr="00665F00">
        <w:t xml:space="preserve"> shifts.</w:t>
      </w:r>
    </w:p>
    <w:p w:rsidR="004E4732" w:rsidRPr="00665F00" w:rsidRDefault="004E4732" w:rsidP="00EB2DC6">
      <w:pPr>
        <w:pStyle w:val="Heading1"/>
      </w:pPr>
      <w:bookmarkStart w:id="3" w:name="_Toc400552427"/>
      <w:r w:rsidRPr="00665F00">
        <w:t>Control of RoHS Compliant Inventory</w:t>
      </w:r>
      <w:bookmarkEnd w:id="3"/>
    </w:p>
    <w:p w:rsidR="004E4732" w:rsidRPr="00665F00" w:rsidRDefault="004E4732" w:rsidP="0050551F">
      <w:pPr>
        <w:pStyle w:val="Heading3"/>
      </w:pPr>
      <w:r w:rsidRPr="00665F00">
        <w:t>Purchasing will be notified by Engineering that a RoHS compliant component needs to be ordered via the B</w:t>
      </w:r>
      <w:r w:rsidR="00A36534" w:rsidRPr="00665F00">
        <w:t>usiness System Database (BSD).</w:t>
      </w:r>
    </w:p>
    <w:p w:rsidR="00974099" w:rsidRPr="00665F00" w:rsidRDefault="004E4732" w:rsidP="0050551F">
      <w:pPr>
        <w:pStyle w:val="Heading3"/>
      </w:pPr>
      <w:r w:rsidRPr="00665F00">
        <w:t xml:space="preserve">All </w:t>
      </w:r>
      <w:proofErr w:type="gramStart"/>
      <w:r w:rsidRPr="00665F00">
        <w:t>inventory</w:t>
      </w:r>
      <w:proofErr w:type="gramEnd"/>
      <w:r w:rsidRPr="00665F00">
        <w:t xml:space="preserve"> will be maintained per the requirements of this procedure with the following exception: </w:t>
      </w:r>
    </w:p>
    <w:p w:rsidR="004E4732" w:rsidRPr="00665F00" w:rsidRDefault="004E4732" w:rsidP="00974099">
      <w:pPr>
        <w:pStyle w:val="Heading4"/>
      </w:pPr>
      <w:r w:rsidRPr="00665F00">
        <w:t>For RoHS compliant items where the vendor part # and PCB part # are not changing, and non-RoHS compliant parts will be on hand when the new parts are received, Purchasing, Planning and Engineering will review the current on hand quantity and demand for that item and make a decision on whether to use the parts up or scrap them out of the system.</w:t>
      </w:r>
    </w:p>
    <w:p w:rsidR="004E4732" w:rsidRPr="00665F00" w:rsidRDefault="004E4732" w:rsidP="0050551F">
      <w:pPr>
        <w:pStyle w:val="Heading3"/>
      </w:pPr>
      <w:r w:rsidRPr="00665F00">
        <w:t>The Inventory group will be responsible for maintaining separate storage and (different locations) issue of these items with the goal of depleting non-RoHS components wherever applicable.</w:t>
      </w:r>
    </w:p>
    <w:sectPr w:rsidR="004E4732" w:rsidRPr="00665F00" w:rsidSect="006B663F">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720" w:left="720" w:header="720" w:footer="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029" w:rsidRDefault="00646029">
      <w:r>
        <w:separator/>
      </w:r>
    </w:p>
  </w:endnote>
  <w:endnote w:type="continuationSeparator" w:id="0">
    <w:p w:rsidR="00646029" w:rsidRDefault="00646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020" w:rsidRDefault="00E950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3672"/>
      <w:gridCol w:w="6156"/>
      <w:gridCol w:w="1188"/>
    </w:tblGrid>
    <w:tr w:rsidR="005E245A" w:rsidRPr="00E52623" w:rsidTr="00424225">
      <w:tc>
        <w:tcPr>
          <w:tcW w:w="3672" w:type="dxa"/>
          <w:shd w:val="clear" w:color="auto" w:fill="auto"/>
          <w:vAlign w:val="center"/>
        </w:tcPr>
        <w:p w:rsidR="005E245A" w:rsidRPr="00424225" w:rsidRDefault="005E245A" w:rsidP="00424225">
          <w:pPr>
            <w:pStyle w:val="Footer"/>
            <w:jc w:val="center"/>
            <w:rPr>
              <w:rFonts w:ascii="Arial" w:hAnsi="Arial" w:cs="Arial"/>
              <w:sz w:val="16"/>
              <w:szCs w:val="16"/>
            </w:rPr>
          </w:pPr>
        </w:p>
      </w:tc>
      <w:tc>
        <w:tcPr>
          <w:tcW w:w="6156" w:type="dxa"/>
          <w:shd w:val="clear" w:color="auto" w:fill="auto"/>
          <w:vAlign w:val="center"/>
        </w:tcPr>
        <w:p w:rsidR="005E245A" w:rsidRPr="0090036D" w:rsidRDefault="0090036D" w:rsidP="00424225">
          <w:pPr>
            <w:pStyle w:val="Footer"/>
            <w:jc w:val="right"/>
            <w:rPr>
              <w:rFonts w:ascii="Arial" w:hAnsi="Arial" w:cs="Arial"/>
              <w:sz w:val="16"/>
              <w:szCs w:val="16"/>
            </w:rPr>
          </w:pPr>
          <w:r w:rsidRPr="0090036D">
            <w:rPr>
              <w:rFonts w:ascii="Arial" w:hAnsi="Arial"/>
              <w:sz w:val="16"/>
              <w:szCs w:val="16"/>
            </w:rPr>
            <w:t>Product Handling, Storage and Inventory</w:t>
          </w:r>
          <w:r>
            <w:rPr>
              <w:rFonts w:ascii="Arial" w:hAnsi="Arial"/>
              <w:sz w:val="16"/>
              <w:szCs w:val="16"/>
            </w:rPr>
            <w:t>:  User Guide</w:t>
          </w:r>
        </w:p>
      </w:tc>
      <w:tc>
        <w:tcPr>
          <w:tcW w:w="1188" w:type="dxa"/>
          <w:shd w:val="clear" w:color="auto" w:fill="auto"/>
          <w:vAlign w:val="center"/>
        </w:tcPr>
        <w:p w:rsidR="005E245A" w:rsidRPr="00424225" w:rsidRDefault="0090036D" w:rsidP="0090036D">
          <w:pPr>
            <w:pStyle w:val="Footer"/>
            <w:jc w:val="right"/>
            <w:rPr>
              <w:rFonts w:ascii="Arial" w:hAnsi="Arial" w:cs="Arial"/>
              <w:sz w:val="16"/>
              <w:szCs w:val="16"/>
            </w:rPr>
          </w:pPr>
          <w:r>
            <w:rPr>
              <w:rFonts w:ascii="Arial" w:hAnsi="Arial" w:cs="Arial"/>
              <w:sz w:val="16"/>
              <w:szCs w:val="16"/>
            </w:rPr>
            <w:t>TA1244</w:t>
          </w:r>
        </w:p>
      </w:tc>
    </w:tr>
    <w:tr w:rsidR="00E95020" w:rsidRPr="00E95020" w:rsidTr="00424225">
      <w:tc>
        <w:tcPr>
          <w:tcW w:w="3672" w:type="dxa"/>
          <w:shd w:val="clear" w:color="auto" w:fill="auto"/>
          <w:vAlign w:val="center"/>
        </w:tcPr>
        <w:p w:rsidR="005E245A" w:rsidRPr="00424225" w:rsidRDefault="005E245A" w:rsidP="006B663F">
          <w:pPr>
            <w:pStyle w:val="Footer"/>
            <w:rPr>
              <w:rFonts w:ascii="Arial" w:hAnsi="Arial" w:cs="Arial"/>
              <w:sz w:val="16"/>
              <w:szCs w:val="16"/>
            </w:rPr>
          </w:pPr>
        </w:p>
      </w:tc>
      <w:tc>
        <w:tcPr>
          <w:tcW w:w="6156" w:type="dxa"/>
          <w:shd w:val="clear" w:color="auto" w:fill="auto"/>
          <w:vAlign w:val="center"/>
        </w:tcPr>
        <w:p w:rsidR="005E245A" w:rsidRPr="00424225" w:rsidRDefault="005E245A" w:rsidP="00CD2070">
          <w:pPr>
            <w:pStyle w:val="Footer"/>
            <w:rPr>
              <w:rFonts w:ascii="Arial" w:hAnsi="Arial" w:cs="Arial"/>
              <w:sz w:val="16"/>
              <w:szCs w:val="16"/>
            </w:rPr>
          </w:pPr>
          <w:r w:rsidRPr="00424225">
            <w:rPr>
              <w:rFonts w:ascii="Arial" w:hAnsi="Arial" w:cs="Arial"/>
              <w:sz w:val="16"/>
              <w:szCs w:val="16"/>
            </w:rPr>
            <w:t xml:space="preserve">                                    PAGE </w:t>
          </w:r>
          <w:r w:rsidRPr="00424225">
            <w:rPr>
              <w:rStyle w:val="PageNumber"/>
              <w:rFonts w:ascii="Arial" w:hAnsi="Arial" w:cs="Arial"/>
              <w:sz w:val="16"/>
              <w:szCs w:val="16"/>
            </w:rPr>
            <w:fldChar w:fldCharType="begin"/>
          </w:r>
          <w:r w:rsidRPr="00424225">
            <w:rPr>
              <w:rStyle w:val="PageNumber"/>
              <w:rFonts w:ascii="Arial" w:hAnsi="Arial" w:cs="Arial"/>
              <w:sz w:val="16"/>
              <w:szCs w:val="16"/>
            </w:rPr>
            <w:instrText xml:space="preserve"> PAGE </w:instrText>
          </w:r>
          <w:r w:rsidRPr="00424225">
            <w:rPr>
              <w:rStyle w:val="PageNumber"/>
              <w:rFonts w:ascii="Arial" w:hAnsi="Arial" w:cs="Arial"/>
              <w:sz w:val="16"/>
              <w:szCs w:val="16"/>
            </w:rPr>
            <w:fldChar w:fldCharType="separate"/>
          </w:r>
          <w:r w:rsidR="00CB2F7F">
            <w:rPr>
              <w:rStyle w:val="PageNumber"/>
              <w:rFonts w:ascii="Arial" w:hAnsi="Arial" w:cs="Arial"/>
              <w:noProof/>
              <w:sz w:val="16"/>
              <w:szCs w:val="16"/>
            </w:rPr>
            <w:t>1</w:t>
          </w:r>
          <w:r w:rsidRPr="00424225">
            <w:rPr>
              <w:rStyle w:val="PageNumber"/>
              <w:rFonts w:ascii="Arial" w:hAnsi="Arial" w:cs="Arial"/>
              <w:sz w:val="16"/>
              <w:szCs w:val="16"/>
            </w:rPr>
            <w:fldChar w:fldCharType="end"/>
          </w:r>
          <w:r w:rsidRPr="00424225">
            <w:rPr>
              <w:rStyle w:val="PageNumber"/>
              <w:rFonts w:ascii="Arial" w:hAnsi="Arial" w:cs="Arial"/>
              <w:sz w:val="16"/>
              <w:szCs w:val="16"/>
            </w:rPr>
            <w:t xml:space="preserve"> of </w:t>
          </w:r>
          <w:r w:rsidRPr="00424225">
            <w:rPr>
              <w:rStyle w:val="PageNumber"/>
              <w:rFonts w:ascii="Arial" w:hAnsi="Arial" w:cs="Arial"/>
              <w:sz w:val="16"/>
              <w:szCs w:val="16"/>
            </w:rPr>
            <w:fldChar w:fldCharType="begin"/>
          </w:r>
          <w:r w:rsidRPr="00424225">
            <w:rPr>
              <w:rStyle w:val="PageNumber"/>
              <w:rFonts w:ascii="Arial" w:hAnsi="Arial" w:cs="Arial"/>
              <w:sz w:val="16"/>
              <w:szCs w:val="16"/>
            </w:rPr>
            <w:instrText xml:space="preserve"> NUMPAGES </w:instrText>
          </w:r>
          <w:r w:rsidRPr="00424225">
            <w:rPr>
              <w:rStyle w:val="PageNumber"/>
              <w:rFonts w:ascii="Arial" w:hAnsi="Arial" w:cs="Arial"/>
              <w:sz w:val="16"/>
              <w:szCs w:val="16"/>
            </w:rPr>
            <w:fldChar w:fldCharType="separate"/>
          </w:r>
          <w:r w:rsidR="00CB2F7F">
            <w:rPr>
              <w:rStyle w:val="PageNumber"/>
              <w:rFonts w:ascii="Arial" w:hAnsi="Arial" w:cs="Arial"/>
              <w:noProof/>
              <w:sz w:val="16"/>
              <w:szCs w:val="16"/>
            </w:rPr>
            <w:t>2</w:t>
          </w:r>
          <w:r w:rsidRPr="00424225">
            <w:rPr>
              <w:rStyle w:val="PageNumber"/>
              <w:rFonts w:ascii="Arial" w:hAnsi="Arial" w:cs="Arial"/>
              <w:sz w:val="16"/>
              <w:szCs w:val="16"/>
            </w:rPr>
            <w:fldChar w:fldCharType="end"/>
          </w:r>
        </w:p>
      </w:tc>
      <w:tc>
        <w:tcPr>
          <w:tcW w:w="1188" w:type="dxa"/>
          <w:shd w:val="clear" w:color="auto" w:fill="auto"/>
          <w:vAlign w:val="center"/>
        </w:tcPr>
        <w:p w:rsidR="005E245A" w:rsidRPr="00E95020" w:rsidRDefault="005E245A" w:rsidP="00E95020">
          <w:pPr>
            <w:pStyle w:val="Footer"/>
            <w:jc w:val="right"/>
            <w:rPr>
              <w:rFonts w:ascii="Arial" w:hAnsi="Arial" w:cs="Arial"/>
              <w:color w:val="FF0000"/>
              <w:sz w:val="16"/>
              <w:szCs w:val="16"/>
            </w:rPr>
          </w:pPr>
          <w:r w:rsidRPr="00E95020">
            <w:rPr>
              <w:rFonts w:ascii="Arial" w:hAnsi="Arial" w:cs="Arial"/>
              <w:color w:val="FF0000"/>
              <w:sz w:val="16"/>
              <w:szCs w:val="16"/>
            </w:rPr>
            <w:t xml:space="preserve">REV </w:t>
          </w:r>
          <w:r w:rsidR="00665F00">
            <w:rPr>
              <w:rFonts w:ascii="Arial" w:hAnsi="Arial" w:cs="Arial"/>
              <w:color w:val="FF0000"/>
              <w:sz w:val="16"/>
              <w:szCs w:val="16"/>
            </w:rPr>
            <w:t>C</w:t>
          </w:r>
        </w:p>
      </w:tc>
    </w:tr>
  </w:tbl>
  <w:p w:rsidR="005E245A" w:rsidRPr="00895072" w:rsidRDefault="005E245A" w:rsidP="006B663F">
    <w:pPr>
      <w:pStyle w:val="Footer"/>
      <w:rPr>
        <w:sz w:val="16"/>
        <w:szCs w:val="16"/>
      </w:rPr>
    </w:pPr>
    <w:r w:rsidRPr="00895072">
      <w:rPr>
        <w:sz w:val="16"/>
        <w:szCs w:val="16"/>
      </w:rPr>
      <w:t>CS001 Us</w:t>
    </w:r>
    <w:r>
      <w:rPr>
        <w:sz w:val="16"/>
        <w:szCs w:val="16"/>
      </w:rPr>
      <w:t>er’s Guide Template Rev. NR 10/3</w:t>
    </w:r>
    <w:r w:rsidRPr="00895072">
      <w:rPr>
        <w:sz w:val="16"/>
        <w:szCs w:val="16"/>
      </w:rPr>
      <w:t>0/08</w:t>
    </w:r>
  </w:p>
  <w:p w:rsidR="005E245A" w:rsidRPr="006B663F" w:rsidRDefault="005E245A" w:rsidP="006B66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020" w:rsidRDefault="00E950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029" w:rsidRDefault="00646029">
      <w:r>
        <w:separator/>
      </w:r>
    </w:p>
  </w:footnote>
  <w:footnote w:type="continuationSeparator" w:id="0">
    <w:p w:rsidR="00646029" w:rsidRDefault="006460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020" w:rsidRDefault="00E950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45A" w:rsidRDefault="00157528">
    <w:pPr>
      <w:pStyle w:val="Header"/>
      <w:rPr>
        <w:sz w:val="18"/>
      </w:rPr>
    </w:pPr>
    <w:r>
      <w:rPr>
        <w:noProof/>
      </w:rPr>
      <w:drawing>
        <wp:anchor distT="0" distB="0" distL="114300" distR="114300" simplePos="0" relativeHeight="251658240" behindDoc="0" locked="0" layoutInCell="1" allowOverlap="1" wp14:anchorId="1B1CD60D" wp14:editId="3C4C7369">
          <wp:simplePos x="0" y="0"/>
          <wp:positionH relativeFrom="column">
            <wp:posOffset>4890135</wp:posOffset>
          </wp:positionH>
          <wp:positionV relativeFrom="paragraph">
            <wp:posOffset>40640</wp:posOffset>
          </wp:positionV>
          <wp:extent cx="1905000" cy="514350"/>
          <wp:effectExtent l="0" t="0" r="0" b="0"/>
          <wp:wrapSquare wrapText="bothSides"/>
          <wp:docPr id="4"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5BF44FF2" wp14:editId="46ABD7B9">
          <wp:simplePos x="0" y="0"/>
          <wp:positionH relativeFrom="column">
            <wp:posOffset>89535</wp:posOffset>
          </wp:positionH>
          <wp:positionV relativeFrom="paragraph">
            <wp:posOffset>40640</wp:posOffset>
          </wp:positionV>
          <wp:extent cx="3327400" cy="476250"/>
          <wp:effectExtent l="0" t="0" r="6350" b="0"/>
          <wp:wrapSquare wrapText="bothSides"/>
          <wp:docPr id="3" name="Picture 1" descr="PCB Piezotronics, In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4"/>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245A" w:rsidRDefault="005E245A" w:rsidP="00895072">
    <w:pPr>
      <w:rPr>
        <w:rFonts w:ascii="Arial" w:hAnsi="Arial"/>
        <w:sz w:val="28"/>
      </w:rPr>
    </w:pPr>
  </w:p>
  <w:p w:rsidR="005E245A" w:rsidRDefault="005E245A" w:rsidP="006C2FD8">
    <w:pPr>
      <w:jc w:val="center"/>
      <w:rPr>
        <w:rFonts w:ascii="Arial" w:hAnsi="Arial"/>
        <w:sz w:val="28"/>
      </w:rPr>
    </w:pPr>
  </w:p>
  <w:p w:rsidR="005E245A" w:rsidRDefault="005E245A" w:rsidP="006C2FD8">
    <w:pPr>
      <w:jc w:val="center"/>
      <w:rPr>
        <w:rFonts w:ascii="Arial" w:hAnsi="Arial"/>
        <w:sz w:val="28"/>
      </w:rPr>
    </w:pPr>
  </w:p>
  <w:p w:rsidR="004E4732" w:rsidRPr="00FA50E8" w:rsidRDefault="004E4732" w:rsidP="004E4732">
    <w:pPr>
      <w:jc w:val="center"/>
      <w:rPr>
        <w:rFonts w:ascii="Arial" w:hAnsi="Arial"/>
        <w:b/>
      </w:rPr>
    </w:pPr>
    <w:r w:rsidRPr="006C2FD8">
      <w:rPr>
        <w:rFonts w:ascii="Arial" w:hAnsi="Arial"/>
        <w:sz w:val="28"/>
      </w:rPr>
      <w:t xml:space="preserve">User Guide: </w:t>
    </w:r>
    <w:r>
      <w:rPr>
        <w:rFonts w:ascii="Arial" w:hAnsi="Arial"/>
        <w:sz w:val="28"/>
      </w:rPr>
      <w:t>Product Handling, Storage and Inventory</w:t>
    </w:r>
  </w:p>
  <w:p w:rsidR="005E245A" w:rsidRDefault="005E24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020" w:rsidRDefault="00E950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190E"/>
    <w:multiLevelType w:val="hybridMultilevel"/>
    <w:tmpl w:val="B77A6972"/>
    <w:lvl w:ilvl="0" w:tplc="BEFA293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E11890"/>
    <w:multiLevelType w:val="hybridMultilevel"/>
    <w:tmpl w:val="26D03E14"/>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180"/>
        </w:tabs>
        <w:ind w:left="18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3368A4"/>
    <w:multiLevelType w:val="hybridMultilevel"/>
    <w:tmpl w:val="3834B40E"/>
    <w:lvl w:ilvl="0" w:tplc="F7145E34">
      <w:start w:val="1"/>
      <w:numFmt w:val="bullet"/>
      <w:lvlText w:val=""/>
      <w:lvlJc w:val="left"/>
      <w:pPr>
        <w:tabs>
          <w:tab w:val="num" w:pos="360"/>
        </w:tabs>
      </w:pPr>
      <w:rPr>
        <w:rFonts w:ascii="Wingdings" w:hAnsi="Wingdings" w:hint="default"/>
      </w:rPr>
    </w:lvl>
    <w:lvl w:ilvl="1" w:tplc="AD566D30">
      <w:start w:val="1"/>
      <w:numFmt w:val="decimal"/>
      <w:lvlText w:val="%2)"/>
      <w:lvlJc w:val="left"/>
      <w:pPr>
        <w:tabs>
          <w:tab w:val="num" w:pos="1512"/>
        </w:tabs>
        <w:ind w:left="1512" w:hanging="432"/>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A157DB"/>
    <w:multiLevelType w:val="hybridMultilevel"/>
    <w:tmpl w:val="4E4885C8"/>
    <w:lvl w:ilvl="0" w:tplc="F7145E34">
      <w:start w:val="1"/>
      <w:numFmt w:val="bullet"/>
      <w:lvlText w:val=""/>
      <w:lvlJc w:val="left"/>
      <w:pPr>
        <w:tabs>
          <w:tab w:val="num" w:pos="360"/>
        </w:tabs>
      </w:pPr>
      <w:rPr>
        <w:rFonts w:ascii="Wingdings" w:hAnsi="Wingdings" w:hint="default"/>
      </w:rPr>
    </w:lvl>
    <w:lvl w:ilvl="1" w:tplc="0409000F">
      <w:start w:val="1"/>
      <w:numFmt w:val="decimal"/>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AB26F4"/>
    <w:multiLevelType w:val="hybridMultilevel"/>
    <w:tmpl w:val="3536A054"/>
    <w:lvl w:ilvl="0" w:tplc="04090011">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E4C505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nsid w:val="44E419FE"/>
    <w:multiLevelType w:val="multilevel"/>
    <w:tmpl w:val="C5921868"/>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7">
    <w:nsid w:val="4D1D2973"/>
    <w:multiLevelType w:val="hybridMultilevel"/>
    <w:tmpl w:val="69AC64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0DF476F"/>
    <w:multiLevelType w:val="hybridMultilevel"/>
    <w:tmpl w:val="849A6760"/>
    <w:lvl w:ilvl="0" w:tplc="2D20943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B3E6AFF"/>
    <w:multiLevelType w:val="hybridMultilevel"/>
    <w:tmpl w:val="BF4C3D6E"/>
    <w:lvl w:ilvl="0" w:tplc="7E5043E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CA921CD"/>
    <w:multiLevelType w:val="hybridMultilevel"/>
    <w:tmpl w:val="BD089750"/>
    <w:lvl w:ilvl="0" w:tplc="451EE5F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FAD6B2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0"/>
  </w:num>
  <w:num w:numId="2">
    <w:abstractNumId w:val="4"/>
  </w:num>
  <w:num w:numId="3">
    <w:abstractNumId w:val="7"/>
  </w:num>
  <w:num w:numId="4">
    <w:abstractNumId w:val="1"/>
  </w:num>
  <w:num w:numId="5">
    <w:abstractNumId w:val="5"/>
  </w:num>
  <w:num w:numId="6">
    <w:abstractNumId w:val="2"/>
  </w:num>
  <w:num w:numId="7">
    <w:abstractNumId w:val="3"/>
  </w:num>
  <w:num w:numId="8">
    <w:abstractNumId w:val="6"/>
  </w:num>
  <w:num w:numId="9">
    <w:abstractNumId w:val="8"/>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50D"/>
    <w:rsid w:val="00007E34"/>
    <w:rsid w:val="00022369"/>
    <w:rsid w:val="00033289"/>
    <w:rsid w:val="00072E62"/>
    <w:rsid w:val="0008773B"/>
    <w:rsid w:val="00087FE0"/>
    <w:rsid w:val="000B48F6"/>
    <w:rsid w:val="000C48F2"/>
    <w:rsid w:val="000E3BBF"/>
    <w:rsid w:val="00157528"/>
    <w:rsid w:val="00161EC8"/>
    <w:rsid w:val="00186F41"/>
    <w:rsid w:val="00191DEF"/>
    <w:rsid w:val="001D699F"/>
    <w:rsid w:val="001E4D85"/>
    <w:rsid w:val="001F0696"/>
    <w:rsid w:val="0020547D"/>
    <w:rsid w:val="0020563E"/>
    <w:rsid w:val="00216657"/>
    <w:rsid w:val="00221E0D"/>
    <w:rsid w:val="0022518E"/>
    <w:rsid w:val="002462EC"/>
    <w:rsid w:val="0028139B"/>
    <w:rsid w:val="002965C8"/>
    <w:rsid w:val="002A47A4"/>
    <w:rsid w:val="0030710F"/>
    <w:rsid w:val="003107F1"/>
    <w:rsid w:val="00311C66"/>
    <w:rsid w:val="00330870"/>
    <w:rsid w:val="00333629"/>
    <w:rsid w:val="00336957"/>
    <w:rsid w:val="00344257"/>
    <w:rsid w:val="00347E9D"/>
    <w:rsid w:val="0035241B"/>
    <w:rsid w:val="00367B08"/>
    <w:rsid w:val="00393589"/>
    <w:rsid w:val="00395A75"/>
    <w:rsid w:val="00424225"/>
    <w:rsid w:val="004313F1"/>
    <w:rsid w:val="004C519A"/>
    <w:rsid w:val="004D350D"/>
    <w:rsid w:val="004E4732"/>
    <w:rsid w:val="005036FC"/>
    <w:rsid w:val="0050551F"/>
    <w:rsid w:val="00520746"/>
    <w:rsid w:val="00533A5D"/>
    <w:rsid w:val="00564A23"/>
    <w:rsid w:val="005651D4"/>
    <w:rsid w:val="00591DA1"/>
    <w:rsid w:val="005B0859"/>
    <w:rsid w:val="005B6DF3"/>
    <w:rsid w:val="005C1364"/>
    <w:rsid w:val="005E245A"/>
    <w:rsid w:val="005F0253"/>
    <w:rsid w:val="006133F5"/>
    <w:rsid w:val="00616727"/>
    <w:rsid w:val="00617118"/>
    <w:rsid w:val="006252DF"/>
    <w:rsid w:val="00631461"/>
    <w:rsid w:val="006435C0"/>
    <w:rsid w:val="00646029"/>
    <w:rsid w:val="00647347"/>
    <w:rsid w:val="00665F00"/>
    <w:rsid w:val="006B663F"/>
    <w:rsid w:val="006C2FD8"/>
    <w:rsid w:val="006C371E"/>
    <w:rsid w:val="006C43AC"/>
    <w:rsid w:val="006D29DB"/>
    <w:rsid w:val="006D65E6"/>
    <w:rsid w:val="00702CDB"/>
    <w:rsid w:val="00705C64"/>
    <w:rsid w:val="007C4EE8"/>
    <w:rsid w:val="007D2CD2"/>
    <w:rsid w:val="007D6957"/>
    <w:rsid w:val="00821035"/>
    <w:rsid w:val="008308DE"/>
    <w:rsid w:val="00895072"/>
    <w:rsid w:val="008A0677"/>
    <w:rsid w:val="008E55DD"/>
    <w:rsid w:val="008F0B89"/>
    <w:rsid w:val="008F0CCE"/>
    <w:rsid w:val="0090036D"/>
    <w:rsid w:val="00900D64"/>
    <w:rsid w:val="00974099"/>
    <w:rsid w:val="0098464F"/>
    <w:rsid w:val="00987CE4"/>
    <w:rsid w:val="009A3383"/>
    <w:rsid w:val="009C4955"/>
    <w:rsid w:val="009C7C6B"/>
    <w:rsid w:val="009D171E"/>
    <w:rsid w:val="009D1FCB"/>
    <w:rsid w:val="009D498B"/>
    <w:rsid w:val="009E327D"/>
    <w:rsid w:val="009F5FE8"/>
    <w:rsid w:val="00A06292"/>
    <w:rsid w:val="00A13A9E"/>
    <w:rsid w:val="00A25E93"/>
    <w:rsid w:val="00A313A5"/>
    <w:rsid w:val="00A36534"/>
    <w:rsid w:val="00A46EF4"/>
    <w:rsid w:val="00A6329F"/>
    <w:rsid w:val="00AE5937"/>
    <w:rsid w:val="00B01642"/>
    <w:rsid w:val="00B059E4"/>
    <w:rsid w:val="00B35A92"/>
    <w:rsid w:val="00B57417"/>
    <w:rsid w:val="00B61DFA"/>
    <w:rsid w:val="00B82A67"/>
    <w:rsid w:val="00BB4667"/>
    <w:rsid w:val="00BF0CC6"/>
    <w:rsid w:val="00C348DA"/>
    <w:rsid w:val="00C35916"/>
    <w:rsid w:val="00C46B6C"/>
    <w:rsid w:val="00C51EB7"/>
    <w:rsid w:val="00C53EA6"/>
    <w:rsid w:val="00C62837"/>
    <w:rsid w:val="00CA0DC1"/>
    <w:rsid w:val="00CA42DC"/>
    <w:rsid w:val="00CB2F7F"/>
    <w:rsid w:val="00CD2070"/>
    <w:rsid w:val="00CD44B4"/>
    <w:rsid w:val="00CD60AB"/>
    <w:rsid w:val="00CE55CA"/>
    <w:rsid w:val="00D70DDA"/>
    <w:rsid w:val="00DA06CF"/>
    <w:rsid w:val="00DE48CA"/>
    <w:rsid w:val="00E00E94"/>
    <w:rsid w:val="00E11D6C"/>
    <w:rsid w:val="00E3677A"/>
    <w:rsid w:val="00E52623"/>
    <w:rsid w:val="00E700BE"/>
    <w:rsid w:val="00E935C3"/>
    <w:rsid w:val="00E95020"/>
    <w:rsid w:val="00EA5B7E"/>
    <w:rsid w:val="00EB2DC6"/>
    <w:rsid w:val="00EB65E9"/>
    <w:rsid w:val="00EC1CEA"/>
    <w:rsid w:val="00EE5A20"/>
    <w:rsid w:val="00F23388"/>
    <w:rsid w:val="00F24483"/>
    <w:rsid w:val="00F53273"/>
    <w:rsid w:val="00F76E22"/>
    <w:rsid w:val="00FA50E8"/>
    <w:rsid w:val="00FB3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link w:val="Heading1Char"/>
    <w:qFormat/>
    <w:rsid w:val="00395A75"/>
    <w:pPr>
      <w:keepNext/>
      <w:numPr>
        <w:numId w:val="8"/>
      </w:numPr>
      <w:tabs>
        <w:tab w:val="left" w:pos="504"/>
      </w:tabs>
      <w:spacing w:before="120"/>
      <w:outlineLvl w:val="0"/>
    </w:pPr>
    <w:rPr>
      <w:b/>
      <w:bCs/>
      <w:caps/>
      <w:kern w:val="32"/>
      <w:sz w:val="24"/>
      <w:szCs w:val="24"/>
    </w:rPr>
  </w:style>
  <w:style w:type="paragraph" w:styleId="Heading2">
    <w:name w:val="heading 2"/>
    <w:basedOn w:val="Normal"/>
    <w:link w:val="Heading2Char"/>
    <w:qFormat/>
    <w:rsid w:val="00A36534"/>
    <w:pPr>
      <w:keepNext/>
      <w:numPr>
        <w:ilvl w:val="1"/>
        <w:numId w:val="8"/>
      </w:numPr>
      <w:tabs>
        <w:tab w:val="clear" w:pos="1080"/>
        <w:tab w:val="num" w:pos="810"/>
      </w:tabs>
      <w:spacing w:before="60"/>
      <w:ind w:left="810" w:hanging="450"/>
      <w:outlineLvl w:val="1"/>
    </w:pPr>
    <w:rPr>
      <w:b/>
      <w:bCs/>
      <w:iCs/>
      <w:color w:val="FF0000"/>
      <w:sz w:val="24"/>
      <w:szCs w:val="28"/>
    </w:rPr>
  </w:style>
  <w:style w:type="paragraph" w:styleId="Heading3">
    <w:name w:val="heading 3"/>
    <w:basedOn w:val="Normal"/>
    <w:link w:val="Heading3Char"/>
    <w:qFormat/>
    <w:rsid w:val="0050551F"/>
    <w:pPr>
      <w:keepNext/>
      <w:keepLines/>
      <w:widowControl w:val="0"/>
      <w:numPr>
        <w:ilvl w:val="2"/>
        <w:numId w:val="8"/>
      </w:numPr>
      <w:spacing w:after="60"/>
      <w:ind w:left="1170" w:hanging="360"/>
      <w:outlineLvl w:val="2"/>
    </w:pPr>
    <w:rPr>
      <w:bCs/>
      <w:sz w:val="24"/>
      <w:szCs w:val="24"/>
    </w:rPr>
  </w:style>
  <w:style w:type="paragraph" w:styleId="Heading4">
    <w:name w:val="heading 4"/>
    <w:basedOn w:val="Normal"/>
    <w:next w:val="Normal"/>
    <w:link w:val="Heading4Char"/>
    <w:qFormat/>
    <w:rsid w:val="0050551F"/>
    <w:pPr>
      <w:keepNext/>
      <w:keepLines/>
      <w:numPr>
        <w:ilvl w:val="3"/>
        <w:numId w:val="8"/>
      </w:numPr>
      <w:spacing w:after="60"/>
      <w:ind w:left="1530" w:hanging="360"/>
      <w:outlineLvl w:val="3"/>
    </w:pPr>
    <w:rPr>
      <w:bCs/>
      <w:sz w:val="24"/>
      <w:szCs w:val="24"/>
    </w:rPr>
  </w:style>
  <w:style w:type="paragraph" w:styleId="Heading5">
    <w:name w:val="heading 5"/>
    <w:basedOn w:val="Normal"/>
    <w:next w:val="Normal"/>
    <w:link w:val="Heading5Char"/>
    <w:qFormat/>
    <w:rsid w:val="00647347"/>
    <w:pPr>
      <w:keepNext/>
      <w:keepLines/>
      <w:numPr>
        <w:ilvl w:val="4"/>
        <w:numId w:val="8"/>
      </w:numPr>
      <w:spacing w:after="60"/>
      <w:outlineLvl w:val="4"/>
    </w:pPr>
    <w:rPr>
      <w:rFonts w:ascii="Arial" w:hAnsi="Arial"/>
      <w:bCs/>
      <w:iCs/>
      <w:sz w:val="24"/>
      <w:szCs w:val="24"/>
    </w:rPr>
  </w:style>
  <w:style w:type="paragraph" w:styleId="Heading6">
    <w:name w:val="heading 6"/>
    <w:basedOn w:val="Normal"/>
    <w:next w:val="Normal"/>
    <w:link w:val="Heading6Char"/>
    <w:qFormat/>
    <w:rsid w:val="00647347"/>
    <w:pPr>
      <w:numPr>
        <w:ilvl w:val="5"/>
        <w:numId w:val="8"/>
      </w:numPr>
      <w:spacing w:before="240" w:after="60"/>
      <w:outlineLvl w:val="5"/>
    </w:pPr>
    <w:rPr>
      <w:b/>
      <w:bCs/>
      <w:sz w:val="22"/>
      <w:szCs w:val="22"/>
    </w:rPr>
  </w:style>
  <w:style w:type="paragraph" w:styleId="Heading7">
    <w:name w:val="heading 7"/>
    <w:basedOn w:val="Normal"/>
    <w:next w:val="Normal"/>
    <w:link w:val="Heading7Char"/>
    <w:qFormat/>
    <w:rsid w:val="00647347"/>
    <w:pPr>
      <w:numPr>
        <w:ilvl w:val="6"/>
        <w:numId w:val="8"/>
      </w:numPr>
      <w:spacing w:before="240" w:after="60"/>
      <w:outlineLvl w:val="6"/>
    </w:pPr>
    <w:rPr>
      <w:sz w:val="24"/>
      <w:szCs w:val="24"/>
    </w:rPr>
  </w:style>
  <w:style w:type="paragraph" w:styleId="Heading8">
    <w:name w:val="heading 8"/>
    <w:basedOn w:val="Normal"/>
    <w:next w:val="Normal"/>
    <w:link w:val="Heading8Char"/>
    <w:qFormat/>
    <w:rsid w:val="00647347"/>
    <w:pPr>
      <w:numPr>
        <w:ilvl w:val="7"/>
        <w:numId w:val="8"/>
      </w:numPr>
      <w:spacing w:before="240" w:after="60"/>
      <w:outlineLvl w:val="7"/>
    </w:pPr>
    <w:rPr>
      <w:i/>
      <w:iCs/>
      <w:sz w:val="24"/>
      <w:szCs w:val="24"/>
    </w:rPr>
  </w:style>
  <w:style w:type="paragraph" w:styleId="Heading9">
    <w:name w:val="heading 9"/>
    <w:basedOn w:val="Normal"/>
    <w:next w:val="Normal"/>
    <w:link w:val="Heading9Char"/>
    <w:qFormat/>
    <w:rsid w:val="00647347"/>
    <w:pPr>
      <w:numPr>
        <w:ilvl w:val="8"/>
        <w:numId w:val="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character" w:customStyle="1" w:styleId="FooterChar">
    <w:name w:val="Footer Char"/>
    <w:link w:val="Footer"/>
    <w:locked/>
    <w:rsid w:val="006D65E6"/>
    <w:rPr>
      <w:lang w:val="en-US" w:eastAsia="en-US" w:bidi="ar-SA"/>
    </w:rPr>
  </w:style>
  <w:style w:type="paragraph" w:styleId="BalloonText">
    <w:name w:val="Balloon Text"/>
    <w:basedOn w:val="Normal"/>
    <w:link w:val="BalloonTextChar"/>
    <w:rsid w:val="00647347"/>
    <w:rPr>
      <w:rFonts w:ascii="Tahoma" w:hAnsi="Tahoma" w:cs="Tahoma"/>
      <w:sz w:val="16"/>
      <w:szCs w:val="16"/>
    </w:rPr>
  </w:style>
  <w:style w:type="character" w:customStyle="1" w:styleId="BalloonTextChar">
    <w:name w:val="Balloon Text Char"/>
    <w:link w:val="BalloonText"/>
    <w:rsid w:val="00647347"/>
    <w:rPr>
      <w:rFonts w:ascii="Tahoma" w:hAnsi="Tahoma" w:cs="Tahoma"/>
      <w:sz w:val="16"/>
      <w:szCs w:val="16"/>
    </w:rPr>
  </w:style>
  <w:style w:type="character" w:customStyle="1" w:styleId="Heading1Char">
    <w:name w:val="Heading 1 Char"/>
    <w:link w:val="Heading1"/>
    <w:rsid w:val="00395A75"/>
    <w:rPr>
      <w:b/>
      <w:bCs/>
      <w:caps/>
      <w:kern w:val="32"/>
      <w:sz w:val="24"/>
      <w:szCs w:val="24"/>
    </w:rPr>
  </w:style>
  <w:style w:type="character" w:customStyle="1" w:styleId="Heading2Char">
    <w:name w:val="Heading 2 Char"/>
    <w:link w:val="Heading2"/>
    <w:rsid w:val="00A36534"/>
    <w:rPr>
      <w:b/>
      <w:bCs/>
      <w:iCs/>
      <w:color w:val="FF0000"/>
      <w:sz w:val="24"/>
      <w:szCs w:val="28"/>
    </w:rPr>
  </w:style>
  <w:style w:type="character" w:customStyle="1" w:styleId="Heading3Char">
    <w:name w:val="Heading 3 Char"/>
    <w:link w:val="Heading3"/>
    <w:rsid w:val="0050551F"/>
    <w:rPr>
      <w:bCs/>
      <w:sz w:val="24"/>
      <w:szCs w:val="24"/>
    </w:rPr>
  </w:style>
  <w:style w:type="character" w:customStyle="1" w:styleId="Heading4Char">
    <w:name w:val="Heading 4 Char"/>
    <w:link w:val="Heading4"/>
    <w:rsid w:val="0050551F"/>
    <w:rPr>
      <w:bCs/>
      <w:sz w:val="24"/>
      <w:szCs w:val="24"/>
    </w:rPr>
  </w:style>
  <w:style w:type="character" w:customStyle="1" w:styleId="Heading5Char">
    <w:name w:val="Heading 5 Char"/>
    <w:link w:val="Heading5"/>
    <w:rsid w:val="00647347"/>
    <w:rPr>
      <w:rFonts w:ascii="Arial" w:hAnsi="Arial"/>
      <w:bCs/>
      <w:iCs/>
      <w:sz w:val="24"/>
      <w:szCs w:val="24"/>
    </w:rPr>
  </w:style>
  <w:style w:type="character" w:customStyle="1" w:styleId="Heading6Char">
    <w:name w:val="Heading 6 Char"/>
    <w:link w:val="Heading6"/>
    <w:rsid w:val="00647347"/>
    <w:rPr>
      <w:b/>
      <w:bCs/>
      <w:sz w:val="22"/>
      <w:szCs w:val="22"/>
    </w:rPr>
  </w:style>
  <w:style w:type="character" w:customStyle="1" w:styleId="Heading7Char">
    <w:name w:val="Heading 7 Char"/>
    <w:link w:val="Heading7"/>
    <w:rsid w:val="00647347"/>
    <w:rPr>
      <w:sz w:val="24"/>
      <w:szCs w:val="24"/>
    </w:rPr>
  </w:style>
  <w:style w:type="character" w:customStyle="1" w:styleId="Heading8Char">
    <w:name w:val="Heading 8 Char"/>
    <w:link w:val="Heading8"/>
    <w:rsid w:val="00647347"/>
    <w:rPr>
      <w:i/>
      <w:iCs/>
      <w:sz w:val="24"/>
      <w:szCs w:val="24"/>
    </w:rPr>
  </w:style>
  <w:style w:type="character" w:customStyle="1" w:styleId="Heading9Char">
    <w:name w:val="Heading 9 Char"/>
    <w:link w:val="Heading9"/>
    <w:rsid w:val="00647347"/>
    <w:rPr>
      <w:rFonts w:ascii="Arial" w:hAnsi="Arial" w:cs="Arial"/>
      <w:sz w:val="22"/>
      <w:szCs w:val="22"/>
    </w:rPr>
  </w:style>
  <w:style w:type="character" w:styleId="Hyperlink">
    <w:name w:val="Hyperlink"/>
    <w:uiPriority w:val="99"/>
    <w:rsid w:val="009D498B"/>
    <w:rPr>
      <w:color w:val="0000FF"/>
      <w:u w:val="single"/>
    </w:rPr>
  </w:style>
  <w:style w:type="paragraph" w:styleId="TOC2">
    <w:name w:val="toc 2"/>
    <w:basedOn w:val="Normal"/>
    <w:next w:val="Normal"/>
    <w:autoRedefine/>
    <w:uiPriority w:val="39"/>
    <w:rsid w:val="009D498B"/>
    <w:pPr>
      <w:ind w:left="240"/>
    </w:pPr>
    <w:rPr>
      <w:sz w:val="24"/>
    </w:rPr>
  </w:style>
  <w:style w:type="paragraph" w:styleId="TOC1">
    <w:name w:val="toc 1"/>
    <w:basedOn w:val="Normal"/>
    <w:next w:val="Normal"/>
    <w:autoRedefine/>
    <w:uiPriority w:val="39"/>
    <w:rsid w:val="0008773B"/>
    <w:pPr>
      <w:tabs>
        <w:tab w:val="left" w:pos="440"/>
        <w:tab w:val="right" w:pos="10790"/>
      </w:tabs>
      <w:spacing w:after="100"/>
    </w:pPr>
    <w:rPr>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link w:val="Heading1Char"/>
    <w:qFormat/>
    <w:rsid w:val="00395A75"/>
    <w:pPr>
      <w:keepNext/>
      <w:numPr>
        <w:numId w:val="8"/>
      </w:numPr>
      <w:tabs>
        <w:tab w:val="left" w:pos="504"/>
      </w:tabs>
      <w:spacing w:before="120"/>
      <w:outlineLvl w:val="0"/>
    </w:pPr>
    <w:rPr>
      <w:b/>
      <w:bCs/>
      <w:caps/>
      <w:kern w:val="32"/>
      <w:sz w:val="24"/>
      <w:szCs w:val="24"/>
    </w:rPr>
  </w:style>
  <w:style w:type="paragraph" w:styleId="Heading2">
    <w:name w:val="heading 2"/>
    <w:basedOn w:val="Normal"/>
    <w:link w:val="Heading2Char"/>
    <w:qFormat/>
    <w:rsid w:val="00A36534"/>
    <w:pPr>
      <w:keepNext/>
      <w:numPr>
        <w:ilvl w:val="1"/>
        <w:numId w:val="8"/>
      </w:numPr>
      <w:tabs>
        <w:tab w:val="clear" w:pos="1080"/>
        <w:tab w:val="num" w:pos="810"/>
      </w:tabs>
      <w:spacing w:before="60"/>
      <w:ind w:left="810" w:hanging="450"/>
      <w:outlineLvl w:val="1"/>
    </w:pPr>
    <w:rPr>
      <w:b/>
      <w:bCs/>
      <w:iCs/>
      <w:color w:val="FF0000"/>
      <w:sz w:val="24"/>
      <w:szCs w:val="28"/>
    </w:rPr>
  </w:style>
  <w:style w:type="paragraph" w:styleId="Heading3">
    <w:name w:val="heading 3"/>
    <w:basedOn w:val="Normal"/>
    <w:link w:val="Heading3Char"/>
    <w:qFormat/>
    <w:rsid w:val="0050551F"/>
    <w:pPr>
      <w:keepNext/>
      <w:keepLines/>
      <w:widowControl w:val="0"/>
      <w:numPr>
        <w:ilvl w:val="2"/>
        <w:numId w:val="8"/>
      </w:numPr>
      <w:spacing w:after="60"/>
      <w:ind w:left="1170" w:hanging="360"/>
      <w:outlineLvl w:val="2"/>
    </w:pPr>
    <w:rPr>
      <w:bCs/>
      <w:sz w:val="24"/>
      <w:szCs w:val="24"/>
    </w:rPr>
  </w:style>
  <w:style w:type="paragraph" w:styleId="Heading4">
    <w:name w:val="heading 4"/>
    <w:basedOn w:val="Normal"/>
    <w:next w:val="Normal"/>
    <w:link w:val="Heading4Char"/>
    <w:qFormat/>
    <w:rsid w:val="0050551F"/>
    <w:pPr>
      <w:keepNext/>
      <w:keepLines/>
      <w:numPr>
        <w:ilvl w:val="3"/>
        <w:numId w:val="8"/>
      </w:numPr>
      <w:spacing w:after="60"/>
      <w:ind w:left="1530" w:hanging="360"/>
      <w:outlineLvl w:val="3"/>
    </w:pPr>
    <w:rPr>
      <w:bCs/>
      <w:sz w:val="24"/>
      <w:szCs w:val="24"/>
    </w:rPr>
  </w:style>
  <w:style w:type="paragraph" w:styleId="Heading5">
    <w:name w:val="heading 5"/>
    <w:basedOn w:val="Normal"/>
    <w:next w:val="Normal"/>
    <w:link w:val="Heading5Char"/>
    <w:qFormat/>
    <w:rsid w:val="00647347"/>
    <w:pPr>
      <w:keepNext/>
      <w:keepLines/>
      <w:numPr>
        <w:ilvl w:val="4"/>
        <w:numId w:val="8"/>
      </w:numPr>
      <w:spacing w:after="60"/>
      <w:outlineLvl w:val="4"/>
    </w:pPr>
    <w:rPr>
      <w:rFonts w:ascii="Arial" w:hAnsi="Arial"/>
      <w:bCs/>
      <w:iCs/>
      <w:sz w:val="24"/>
      <w:szCs w:val="24"/>
    </w:rPr>
  </w:style>
  <w:style w:type="paragraph" w:styleId="Heading6">
    <w:name w:val="heading 6"/>
    <w:basedOn w:val="Normal"/>
    <w:next w:val="Normal"/>
    <w:link w:val="Heading6Char"/>
    <w:qFormat/>
    <w:rsid w:val="00647347"/>
    <w:pPr>
      <w:numPr>
        <w:ilvl w:val="5"/>
        <w:numId w:val="8"/>
      </w:numPr>
      <w:spacing w:before="240" w:after="60"/>
      <w:outlineLvl w:val="5"/>
    </w:pPr>
    <w:rPr>
      <w:b/>
      <w:bCs/>
      <w:sz w:val="22"/>
      <w:szCs w:val="22"/>
    </w:rPr>
  </w:style>
  <w:style w:type="paragraph" w:styleId="Heading7">
    <w:name w:val="heading 7"/>
    <w:basedOn w:val="Normal"/>
    <w:next w:val="Normal"/>
    <w:link w:val="Heading7Char"/>
    <w:qFormat/>
    <w:rsid w:val="00647347"/>
    <w:pPr>
      <w:numPr>
        <w:ilvl w:val="6"/>
        <w:numId w:val="8"/>
      </w:numPr>
      <w:spacing w:before="240" w:after="60"/>
      <w:outlineLvl w:val="6"/>
    </w:pPr>
    <w:rPr>
      <w:sz w:val="24"/>
      <w:szCs w:val="24"/>
    </w:rPr>
  </w:style>
  <w:style w:type="paragraph" w:styleId="Heading8">
    <w:name w:val="heading 8"/>
    <w:basedOn w:val="Normal"/>
    <w:next w:val="Normal"/>
    <w:link w:val="Heading8Char"/>
    <w:qFormat/>
    <w:rsid w:val="00647347"/>
    <w:pPr>
      <w:numPr>
        <w:ilvl w:val="7"/>
        <w:numId w:val="8"/>
      </w:numPr>
      <w:spacing w:before="240" w:after="60"/>
      <w:outlineLvl w:val="7"/>
    </w:pPr>
    <w:rPr>
      <w:i/>
      <w:iCs/>
      <w:sz w:val="24"/>
      <w:szCs w:val="24"/>
    </w:rPr>
  </w:style>
  <w:style w:type="paragraph" w:styleId="Heading9">
    <w:name w:val="heading 9"/>
    <w:basedOn w:val="Normal"/>
    <w:next w:val="Normal"/>
    <w:link w:val="Heading9Char"/>
    <w:qFormat/>
    <w:rsid w:val="00647347"/>
    <w:pPr>
      <w:numPr>
        <w:ilvl w:val="8"/>
        <w:numId w:val="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character" w:customStyle="1" w:styleId="FooterChar">
    <w:name w:val="Footer Char"/>
    <w:link w:val="Footer"/>
    <w:locked/>
    <w:rsid w:val="006D65E6"/>
    <w:rPr>
      <w:lang w:val="en-US" w:eastAsia="en-US" w:bidi="ar-SA"/>
    </w:rPr>
  </w:style>
  <w:style w:type="paragraph" w:styleId="BalloonText">
    <w:name w:val="Balloon Text"/>
    <w:basedOn w:val="Normal"/>
    <w:link w:val="BalloonTextChar"/>
    <w:rsid w:val="00647347"/>
    <w:rPr>
      <w:rFonts w:ascii="Tahoma" w:hAnsi="Tahoma" w:cs="Tahoma"/>
      <w:sz w:val="16"/>
      <w:szCs w:val="16"/>
    </w:rPr>
  </w:style>
  <w:style w:type="character" w:customStyle="1" w:styleId="BalloonTextChar">
    <w:name w:val="Balloon Text Char"/>
    <w:link w:val="BalloonText"/>
    <w:rsid w:val="00647347"/>
    <w:rPr>
      <w:rFonts w:ascii="Tahoma" w:hAnsi="Tahoma" w:cs="Tahoma"/>
      <w:sz w:val="16"/>
      <w:szCs w:val="16"/>
    </w:rPr>
  </w:style>
  <w:style w:type="character" w:customStyle="1" w:styleId="Heading1Char">
    <w:name w:val="Heading 1 Char"/>
    <w:link w:val="Heading1"/>
    <w:rsid w:val="00395A75"/>
    <w:rPr>
      <w:b/>
      <w:bCs/>
      <w:caps/>
      <w:kern w:val="32"/>
      <w:sz w:val="24"/>
      <w:szCs w:val="24"/>
    </w:rPr>
  </w:style>
  <w:style w:type="character" w:customStyle="1" w:styleId="Heading2Char">
    <w:name w:val="Heading 2 Char"/>
    <w:link w:val="Heading2"/>
    <w:rsid w:val="00A36534"/>
    <w:rPr>
      <w:b/>
      <w:bCs/>
      <w:iCs/>
      <w:color w:val="FF0000"/>
      <w:sz w:val="24"/>
      <w:szCs w:val="28"/>
    </w:rPr>
  </w:style>
  <w:style w:type="character" w:customStyle="1" w:styleId="Heading3Char">
    <w:name w:val="Heading 3 Char"/>
    <w:link w:val="Heading3"/>
    <w:rsid w:val="0050551F"/>
    <w:rPr>
      <w:bCs/>
      <w:sz w:val="24"/>
      <w:szCs w:val="24"/>
    </w:rPr>
  </w:style>
  <w:style w:type="character" w:customStyle="1" w:styleId="Heading4Char">
    <w:name w:val="Heading 4 Char"/>
    <w:link w:val="Heading4"/>
    <w:rsid w:val="0050551F"/>
    <w:rPr>
      <w:bCs/>
      <w:sz w:val="24"/>
      <w:szCs w:val="24"/>
    </w:rPr>
  </w:style>
  <w:style w:type="character" w:customStyle="1" w:styleId="Heading5Char">
    <w:name w:val="Heading 5 Char"/>
    <w:link w:val="Heading5"/>
    <w:rsid w:val="00647347"/>
    <w:rPr>
      <w:rFonts w:ascii="Arial" w:hAnsi="Arial"/>
      <w:bCs/>
      <w:iCs/>
      <w:sz w:val="24"/>
      <w:szCs w:val="24"/>
    </w:rPr>
  </w:style>
  <w:style w:type="character" w:customStyle="1" w:styleId="Heading6Char">
    <w:name w:val="Heading 6 Char"/>
    <w:link w:val="Heading6"/>
    <w:rsid w:val="00647347"/>
    <w:rPr>
      <w:b/>
      <w:bCs/>
      <w:sz w:val="22"/>
      <w:szCs w:val="22"/>
    </w:rPr>
  </w:style>
  <w:style w:type="character" w:customStyle="1" w:styleId="Heading7Char">
    <w:name w:val="Heading 7 Char"/>
    <w:link w:val="Heading7"/>
    <w:rsid w:val="00647347"/>
    <w:rPr>
      <w:sz w:val="24"/>
      <w:szCs w:val="24"/>
    </w:rPr>
  </w:style>
  <w:style w:type="character" w:customStyle="1" w:styleId="Heading8Char">
    <w:name w:val="Heading 8 Char"/>
    <w:link w:val="Heading8"/>
    <w:rsid w:val="00647347"/>
    <w:rPr>
      <w:i/>
      <w:iCs/>
      <w:sz w:val="24"/>
      <w:szCs w:val="24"/>
    </w:rPr>
  </w:style>
  <w:style w:type="character" w:customStyle="1" w:styleId="Heading9Char">
    <w:name w:val="Heading 9 Char"/>
    <w:link w:val="Heading9"/>
    <w:rsid w:val="00647347"/>
    <w:rPr>
      <w:rFonts w:ascii="Arial" w:hAnsi="Arial" w:cs="Arial"/>
      <w:sz w:val="22"/>
      <w:szCs w:val="22"/>
    </w:rPr>
  </w:style>
  <w:style w:type="character" w:styleId="Hyperlink">
    <w:name w:val="Hyperlink"/>
    <w:uiPriority w:val="99"/>
    <w:rsid w:val="009D498B"/>
    <w:rPr>
      <w:color w:val="0000FF"/>
      <w:u w:val="single"/>
    </w:rPr>
  </w:style>
  <w:style w:type="paragraph" w:styleId="TOC2">
    <w:name w:val="toc 2"/>
    <w:basedOn w:val="Normal"/>
    <w:next w:val="Normal"/>
    <w:autoRedefine/>
    <w:uiPriority w:val="39"/>
    <w:rsid w:val="009D498B"/>
    <w:pPr>
      <w:ind w:left="240"/>
    </w:pPr>
    <w:rPr>
      <w:sz w:val="24"/>
    </w:rPr>
  </w:style>
  <w:style w:type="paragraph" w:styleId="TOC1">
    <w:name w:val="toc 1"/>
    <w:basedOn w:val="Normal"/>
    <w:next w:val="Normal"/>
    <w:autoRedefine/>
    <w:uiPriority w:val="39"/>
    <w:rsid w:val="0008773B"/>
    <w:pPr>
      <w:tabs>
        <w:tab w:val="left" w:pos="440"/>
        <w:tab w:val="right" w:pos="10790"/>
      </w:tabs>
      <w:spacing w:after="100"/>
    </w:pPr>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http://mypcb.pcb.com/images/tcs_hover.gif" TargetMode="External"/><Relationship Id="rId2" Type="http://schemas.openxmlformats.org/officeDocument/2006/relationships/image" Target="media/image1.gif"/><Relationship Id="rId1" Type="http://schemas.openxmlformats.org/officeDocument/2006/relationships/hyperlink" Target="http://mypcb.pcb.com/tcs/" TargetMode="External"/><Relationship Id="rId6" Type="http://schemas.openxmlformats.org/officeDocument/2006/relationships/image" Target="http://www.pcb.com/../images/Pcbhdr.gif" TargetMode="External"/><Relationship Id="rId5" Type="http://schemas.openxmlformats.org/officeDocument/2006/relationships/image" Target="media/image2.png"/><Relationship Id="rId4" Type="http://schemas.openxmlformats.org/officeDocument/2006/relationships/hyperlink" Target="http://www.pc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A0B94-F655-4FE2-A8AC-D736A3F0F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CS001.DOT</Template>
  <TotalTime>11</TotalTime>
  <Pages>1</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dmatulich</dc:creator>
  <cp:keywords>template SOP</cp:keywords>
  <cp:lastModifiedBy>John Betzig</cp:lastModifiedBy>
  <cp:revision>3</cp:revision>
  <cp:lastPrinted>2014-10-09T12:03:00Z</cp:lastPrinted>
  <dcterms:created xsi:type="dcterms:W3CDTF">2017-03-24T20:06:00Z</dcterms:created>
  <dcterms:modified xsi:type="dcterms:W3CDTF">2017-03-27T17:06:00Z</dcterms:modified>
</cp:coreProperties>
</file>